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226" w:beforeAutospacing="0" w:after="226" w:afterAutospacing="0"/>
        <w:jc w:val="center"/>
      </w:pPr>
      <w:r>
        <w:rPr>
          <w:rFonts w:hint="eastAsia" w:ascii="方正小标宋简体" w:hAnsi="方正小标宋简体" w:eastAsia="方正小标宋简体" w:cs="方正小标宋简体"/>
          <w:color w:val="000000"/>
          <w:sz w:val="32"/>
          <w:szCs w:val="32"/>
        </w:rPr>
        <w:t>将乐县水利局</w:t>
      </w:r>
      <w:r>
        <w:rPr>
          <w:rFonts w:hint="eastAsia" w:ascii="方正小标宋简体" w:hAnsi="方正小标宋简体" w:eastAsia="方正小标宋简体" w:cs="方正小标宋简体"/>
          <w:color w:val="000000"/>
          <w:sz w:val="32"/>
          <w:szCs w:val="32"/>
          <w:lang w:val="en-US" w:eastAsia="zh-CN"/>
        </w:rPr>
        <w:t>2020</w:t>
      </w:r>
      <w:r>
        <w:rPr>
          <w:rFonts w:hint="eastAsia" w:ascii="方正小标宋简体" w:hAnsi="方正小标宋简体" w:eastAsia="方正小标宋简体" w:cs="方正小标宋简体"/>
          <w:color w:val="000000"/>
          <w:sz w:val="32"/>
          <w:szCs w:val="32"/>
        </w:rPr>
        <w:t>年政府信息公开工作年度报告</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rPr>
        <w:t>根据《中华人民共和国政府信息公开条例》《国务院办公厅政府信息与政务公开办公室关于政府信息公开工作年度报告有关事项的通知》（国办公开办函〔2019〕60号）精神，现公布将乐县</w:t>
      </w:r>
      <w:r>
        <w:rPr>
          <w:rFonts w:hint="eastAsia" w:ascii="宋体" w:hAnsi="宋体" w:eastAsia="宋体" w:cs="宋体"/>
          <w:sz w:val="24"/>
          <w:szCs w:val="24"/>
          <w:lang w:eastAsia="zh-CN"/>
        </w:rPr>
        <w:t>水利局</w:t>
      </w:r>
      <w:r>
        <w:rPr>
          <w:rFonts w:hint="eastAsia" w:ascii="宋体" w:hAnsi="宋体" w:eastAsia="宋体" w:cs="宋体"/>
          <w:sz w:val="24"/>
          <w:szCs w:val="24"/>
        </w:rPr>
        <w:t>2020年政府信息公开工作年度报告。全文共包括“总体情况”“主动公开政府信息情况”“收到和处理政府信息公开申请情况”“政府信息公开行政复议、行政诉讼情况”“存在的主要问题及改进情况”“其他需要报告的事项”等六项内容，其中政府信息公开数据统计期限为2020年1月1日至2020年12月31日。如对本报告有疑惑或意见建议，请与将乐县</w:t>
      </w:r>
      <w:r>
        <w:rPr>
          <w:rFonts w:hint="eastAsia" w:ascii="宋体" w:hAnsi="宋体" w:eastAsia="宋体" w:cs="宋体"/>
          <w:sz w:val="24"/>
          <w:szCs w:val="24"/>
          <w:lang w:eastAsia="zh-CN"/>
        </w:rPr>
        <w:t>水利局办公室</w:t>
      </w:r>
      <w:r>
        <w:rPr>
          <w:rFonts w:hint="eastAsia" w:ascii="宋体" w:hAnsi="宋体" w:eastAsia="宋体" w:cs="宋体"/>
          <w:sz w:val="24"/>
          <w:szCs w:val="24"/>
        </w:rPr>
        <w:t>联系（地址:将乐县古镛镇三华北路三华商厦四层；邮编：353300 ；电话：0598-2322137）。</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rPr>
        <w:t>一、总体情况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2020年，我局以</w:t>
      </w:r>
      <w:r>
        <w:rPr>
          <w:rFonts w:hint="eastAsia" w:ascii="宋体" w:hAnsi="宋体" w:eastAsia="宋体" w:cs="宋体"/>
          <w:sz w:val="24"/>
          <w:szCs w:val="24"/>
        </w:rPr>
        <w:t>以“主动公开、利企便民、优化服务”为宗旨</w:t>
      </w:r>
      <w:r>
        <w:rPr>
          <w:rFonts w:hint="eastAsia" w:ascii="宋体" w:hAnsi="宋体" w:eastAsia="宋体" w:cs="宋体"/>
          <w:sz w:val="24"/>
          <w:szCs w:val="24"/>
          <w:lang w:val="en-US" w:eastAsia="zh-CN"/>
        </w:rPr>
        <w:t>，认真执行信息审核发布制度和主动公开及依申请公开办事程序,各项工作均得到了顺利的发展。我局把主动公开政府信息作为体现水利部门“忠诚、干净、担当、科学、求实、创新”的重要核心理念，作为推进各项水利工作又快又好发展的内在动力，作为水利系统内练素质、外树形象的有力抓手，作为自觉接受群众监督、使权力在阳光下运行的重要举措，转变观念，扎实工作，创新开拓，有力推进政府信息公开工作新的发展，基本满足了社会对水利部门公开的需求。</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(一)主动公开情况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按照《条例》要求，我局认真对政府产生的信息进行收集，按照“公开是原则，不公开是例外”的要求，及时发布日常工作动态和工作文件，改进工作作风，方便群众办事和监督。2020</w:t>
      </w:r>
      <w:r>
        <w:rPr>
          <w:rFonts w:hint="eastAsia" w:ascii="宋体" w:hAnsi="宋体" w:eastAsia="宋体" w:cs="宋体"/>
          <w:sz w:val="24"/>
          <w:szCs w:val="24"/>
          <w:lang w:val="en-US" w:eastAsia="zh-CN"/>
        </w:rPr>
        <w:t>年度，我局在将乐</w:t>
      </w:r>
      <w:r>
        <w:rPr>
          <w:rFonts w:hint="eastAsia" w:ascii="宋体" w:hAnsi="宋体" w:eastAsia="宋体" w:cs="宋体"/>
          <w:sz w:val="24"/>
          <w:szCs w:val="24"/>
          <w:lang w:val="en-US" w:eastAsia="zh-CN"/>
        </w:rPr>
        <w:t>县政府门户网站主动公开政府信息共36条。其中，</w:t>
      </w:r>
      <w:r>
        <w:rPr>
          <w:rFonts w:hint="eastAsia" w:ascii="宋体" w:hAnsi="宋体" w:eastAsia="宋体" w:cs="宋体"/>
          <w:sz w:val="24"/>
          <w:szCs w:val="24"/>
          <w:lang w:eastAsia="zh-CN"/>
        </w:rPr>
        <w:t>机构职能类信息</w:t>
      </w:r>
      <w:r>
        <w:rPr>
          <w:rFonts w:hint="eastAsia" w:ascii="宋体" w:hAnsi="宋体" w:eastAsia="宋体" w:cs="宋体"/>
          <w:sz w:val="24"/>
          <w:szCs w:val="24"/>
          <w:lang w:val="en-US" w:eastAsia="zh-CN"/>
        </w:rPr>
        <w:t>3条；</w:t>
      </w:r>
      <w:r>
        <w:rPr>
          <w:rFonts w:hint="eastAsia" w:ascii="宋体" w:hAnsi="宋体" w:eastAsia="宋体" w:cs="宋体"/>
          <w:sz w:val="24"/>
          <w:szCs w:val="24"/>
        </w:rPr>
        <w:t>政策、规范性文件类信息</w:t>
      </w:r>
      <w:r>
        <w:rPr>
          <w:rFonts w:hint="eastAsia" w:ascii="宋体" w:hAnsi="宋体" w:eastAsia="宋体" w:cs="宋体"/>
          <w:sz w:val="24"/>
          <w:szCs w:val="24"/>
          <w:lang w:val="en-US" w:eastAsia="zh-CN"/>
        </w:rPr>
        <w:t>2条；</w:t>
      </w:r>
      <w:r>
        <w:rPr>
          <w:rFonts w:hint="eastAsia" w:ascii="宋体" w:hAnsi="宋体" w:eastAsia="宋体" w:cs="宋体"/>
          <w:sz w:val="24"/>
          <w:szCs w:val="24"/>
        </w:rPr>
        <w:t>规划计划类信息</w:t>
      </w:r>
      <w:r>
        <w:rPr>
          <w:rFonts w:hint="eastAsia" w:ascii="宋体" w:hAnsi="宋体" w:eastAsia="宋体" w:cs="宋体"/>
          <w:sz w:val="24"/>
          <w:szCs w:val="24"/>
          <w:lang w:val="en-US" w:eastAsia="zh-CN"/>
        </w:rPr>
        <w:t>1条；</w:t>
      </w:r>
      <w:r>
        <w:rPr>
          <w:rFonts w:hint="eastAsia" w:ascii="宋体" w:hAnsi="宋体" w:eastAsia="宋体" w:cs="宋体"/>
          <w:sz w:val="24"/>
          <w:szCs w:val="24"/>
        </w:rPr>
        <w:t>行政许可类信息</w:t>
      </w:r>
      <w:r>
        <w:rPr>
          <w:rFonts w:hint="eastAsia" w:ascii="宋体" w:hAnsi="宋体" w:eastAsia="宋体" w:cs="宋体"/>
          <w:sz w:val="24"/>
          <w:szCs w:val="24"/>
          <w:lang w:val="en-US" w:eastAsia="zh-CN"/>
        </w:rPr>
        <w:t>1条；</w:t>
      </w:r>
      <w:r>
        <w:rPr>
          <w:rFonts w:hint="eastAsia" w:ascii="宋体" w:hAnsi="宋体" w:eastAsia="宋体" w:cs="宋体"/>
          <w:sz w:val="24"/>
          <w:szCs w:val="24"/>
        </w:rPr>
        <w:t>重大建设项目信息</w:t>
      </w:r>
      <w:r>
        <w:rPr>
          <w:rFonts w:hint="eastAsia" w:ascii="宋体" w:hAnsi="宋体" w:eastAsia="宋体" w:cs="宋体"/>
          <w:sz w:val="24"/>
          <w:szCs w:val="24"/>
          <w:lang w:val="en-US" w:eastAsia="zh-CN"/>
        </w:rPr>
        <w:t>2条；</w:t>
      </w:r>
      <w:r>
        <w:rPr>
          <w:rFonts w:hint="eastAsia" w:ascii="宋体" w:hAnsi="宋体" w:eastAsia="宋体" w:cs="宋体"/>
          <w:sz w:val="24"/>
          <w:szCs w:val="24"/>
        </w:rPr>
        <w:t>为民办实事类信息</w:t>
      </w:r>
      <w:r>
        <w:rPr>
          <w:rFonts w:hint="eastAsia" w:ascii="宋体" w:hAnsi="宋体" w:eastAsia="宋体" w:cs="宋体"/>
          <w:sz w:val="24"/>
          <w:szCs w:val="24"/>
          <w:lang w:val="en-US" w:eastAsia="zh-CN"/>
        </w:rPr>
        <w:t>6条；</w:t>
      </w:r>
      <w:r>
        <w:rPr>
          <w:rFonts w:hint="eastAsia" w:ascii="宋体" w:hAnsi="宋体" w:eastAsia="宋体" w:cs="宋体"/>
          <w:sz w:val="24"/>
          <w:szCs w:val="24"/>
        </w:rPr>
        <w:t>民政扶贫救灾社会保障就业类信息</w:t>
      </w:r>
      <w:r>
        <w:rPr>
          <w:rFonts w:hint="eastAsia" w:ascii="宋体" w:hAnsi="宋体" w:eastAsia="宋体" w:cs="宋体"/>
          <w:sz w:val="24"/>
          <w:szCs w:val="24"/>
          <w:lang w:val="en-US" w:eastAsia="zh-CN"/>
        </w:rPr>
        <w:t>6条；</w:t>
      </w:r>
      <w:r>
        <w:rPr>
          <w:rFonts w:hint="eastAsia" w:ascii="宋体" w:hAnsi="宋体" w:eastAsia="宋体" w:cs="宋体"/>
          <w:sz w:val="24"/>
          <w:szCs w:val="24"/>
        </w:rPr>
        <w:t>国土资源城乡建设环保能源类信息</w:t>
      </w:r>
      <w:r>
        <w:rPr>
          <w:rFonts w:hint="eastAsia" w:ascii="宋体" w:hAnsi="宋体" w:eastAsia="宋体" w:cs="宋体"/>
          <w:sz w:val="24"/>
          <w:szCs w:val="24"/>
          <w:lang w:val="en-US" w:eastAsia="zh-CN"/>
        </w:rPr>
        <w:t>1条；</w:t>
      </w:r>
      <w:r>
        <w:rPr>
          <w:rFonts w:hint="eastAsia" w:ascii="宋体" w:hAnsi="宋体" w:eastAsia="宋体" w:cs="宋体"/>
          <w:sz w:val="24"/>
          <w:szCs w:val="24"/>
        </w:rPr>
        <w:t>安全生产、应急管理类信息</w:t>
      </w:r>
      <w:r>
        <w:rPr>
          <w:rFonts w:hint="eastAsia" w:ascii="宋体" w:hAnsi="宋体" w:eastAsia="宋体" w:cs="宋体"/>
          <w:sz w:val="24"/>
          <w:szCs w:val="24"/>
          <w:lang w:val="en-US" w:eastAsia="zh-CN"/>
        </w:rPr>
        <w:t>9条；</w:t>
      </w:r>
      <w:r>
        <w:rPr>
          <w:rFonts w:hint="eastAsia" w:ascii="宋体" w:hAnsi="宋体" w:eastAsia="宋体" w:cs="宋体"/>
          <w:sz w:val="24"/>
          <w:szCs w:val="24"/>
        </w:rPr>
        <w:t>其他类信息</w:t>
      </w:r>
      <w:r>
        <w:rPr>
          <w:rFonts w:hint="eastAsia" w:ascii="宋体" w:hAnsi="宋体" w:eastAsia="宋体" w:cs="宋体"/>
          <w:sz w:val="24"/>
          <w:szCs w:val="24"/>
          <w:lang w:val="en-US" w:eastAsia="zh-CN"/>
        </w:rPr>
        <w:t>5条。</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(二)依申请公开情况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我局未收到依申请公开政府信息。</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（三）政府信息管理情况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局成立由局主要领导任组长、各分管局长任副组长，相关股室负责人任成员组成的局政府信息公开领导小组，负责全县水利部门政务公开的监督、考核、奖惩及具体实施工作。制定专人负责信息搜集、报送，推动信息公开工作落实。</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（四）平台建设情况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分别在县政府信息公开网、党务政务公开栏进行公示，以及在县档案馆、图书馆查阅，接受民众的监督，迄今没有接收到任何异议问题。</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（五）监督保障情况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健全了以局各股室及下属事业单位提供信息为基础，由局办公室汇总收集各类信息，对涉及水利业务的规章及规范性文件进行全面收集、整理。严格遵循政府信息公开基本原则，公开不涉密，涉密不公开，做到依法公开，注重实效。按照公开建设机制建设，落实网上签办、各股室经办、分管领导把关、局主要领导签批的程序，并按照本部门制定的政府信息公开制度，做好本部门的政府信息公开工作；落实政府信息公开领导机构,健全组织领导机制。</w:t>
      </w:r>
    </w:p>
    <w:p>
      <w:pPr>
        <w:pStyle w:val="4"/>
        <w:widowControl/>
        <w:wordWrap w:val="0"/>
        <w:spacing w:before="226" w:beforeAutospacing="0" w:after="226" w:afterAutospacing="0" w:line="320" w:lineRule="exact"/>
      </w:pPr>
      <w:r>
        <w:rPr>
          <w:rFonts w:hint="eastAsia" w:ascii="宋体" w:hAnsi="宋体" w:cs="宋体"/>
          <w:color w:val="000000"/>
        </w:rPr>
        <w:t>　　二、主动公开政府信息情况</w:t>
      </w:r>
    </w:p>
    <w:tbl>
      <w:tblPr>
        <w:tblStyle w:val="5"/>
        <w:tblW w:w="8401" w:type="dxa"/>
        <w:jc w:val="center"/>
        <w:tblLayout w:type="autofit"/>
        <w:tblCellMar>
          <w:top w:w="0" w:type="dxa"/>
          <w:left w:w="0" w:type="dxa"/>
          <w:bottom w:w="0" w:type="dxa"/>
          <w:right w:w="0" w:type="dxa"/>
        </w:tblCellMar>
      </w:tblPr>
      <w:tblGrid>
        <w:gridCol w:w="2714"/>
        <w:gridCol w:w="2000"/>
        <w:gridCol w:w="1650"/>
        <w:gridCol w:w="2037"/>
      </w:tblGrid>
      <w:tr>
        <w:tblPrEx>
          <w:tblCellMar>
            <w:top w:w="0" w:type="dxa"/>
            <w:left w:w="0" w:type="dxa"/>
            <w:bottom w:w="0" w:type="dxa"/>
            <w:right w:w="0" w:type="dxa"/>
          </w:tblCellMar>
        </w:tblPrEx>
        <w:trPr>
          <w:trHeight w:val="495"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第二十条第（一）项</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本年新</w:t>
            </w:r>
            <w:r>
              <w:rPr>
                <w:rFonts w:hint="eastAsia" w:ascii="宋体" w:hAnsi="宋体" w:cs="宋体"/>
                <w:color w:val="000000"/>
                <w:kern w:val="0"/>
                <w:sz w:val="24"/>
              </w:rPr>
              <w:br w:type="textWrapping"/>
            </w:r>
            <w:r>
              <w:rPr>
                <w:rFonts w:hint="eastAsia" w:ascii="宋体" w:hAnsi="宋体" w:cs="宋体"/>
                <w:kern w:val="0"/>
                <w:sz w:val="24"/>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本年新</w:t>
            </w:r>
            <w:r>
              <w:rPr>
                <w:rFonts w:hint="eastAsia" w:ascii="宋体" w:hAnsi="宋体" w:cs="宋体"/>
                <w:color w:val="000000"/>
                <w:kern w:val="0"/>
                <w:sz w:val="24"/>
              </w:rPr>
              <w:br w:type="textWrapping"/>
            </w:r>
            <w:r>
              <w:rPr>
                <w:rFonts w:hint="eastAsia" w:ascii="宋体" w:hAnsi="宋体" w:cs="宋体"/>
                <w:kern w:val="0"/>
                <w:sz w:val="24"/>
              </w:rPr>
              <w:t>公开数量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对外公开总数量</w:t>
            </w: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规章</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规范性文件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rFonts w:hint="default" w:eastAsia="宋体"/>
                <w:sz w:val="24"/>
                <w:lang w:val="en-US" w:eastAsia="zh-CN"/>
              </w:rPr>
            </w:pPr>
            <w:r>
              <w:rPr>
                <w:rFonts w:hint="eastAsia"/>
                <w:sz w:val="24"/>
                <w:lang w:val="en-US" w:eastAsia="zh-CN"/>
              </w:rPr>
              <w:t>2</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rFonts w:hint="default" w:eastAsia="宋体"/>
                <w:sz w:val="24"/>
                <w:lang w:val="en-US" w:eastAsia="zh-CN"/>
              </w:rPr>
            </w:pPr>
            <w:r>
              <w:rPr>
                <w:rFonts w:hint="eastAsia"/>
                <w:sz w:val="24"/>
                <w:lang w:val="en-US" w:eastAsia="zh-CN"/>
              </w:rPr>
              <w:t>2</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ind w:firstLine="120" w:firstLineChars="5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行政许可</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其他对外管理服务事项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40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9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行政处罚</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行政强制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r>
      <w:tr>
        <w:tblPrEx>
          <w:tblCellMar>
            <w:top w:w="0" w:type="dxa"/>
            <w:left w:w="0" w:type="dxa"/>
            <w:bottom w:w="0" w:type="dxa"/>
            <w:right w:w="0" w:type="dxa"/>
          </w:tblCellMar>
        </w:tblPrEx>
        <w:trPr>
          <w:trHeight w:val="47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上一年项目数量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行政事业性收费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left"/>
              <w:rPr>
                <w:sz w:val="24"/>
              </w:rPr>
            </w:pPr>
            <w:r>
              <w:rPr>
                <w:rFonts w:hint="eastAsia" w:ascii="宋体" w:hAnsi="宋体" w:cs="宋体"/>
                <w:color w:val="000000"/>
                <w:kern w:val="0"/>
                <w:sz w:val="24"/>
              </w:rPr>
              <w:t>　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320" w:lineRule="exact"/>
              <w:jc w:val="center"/>
              <w:rPr>
                <w:rFonts w:hint="eastAsia" w:ascii="宋体" w:hAnsi="宋体" w:cs="宋体"/>
                <w:color w:val="000000"/>
                <w:kern w:val="0"/>
                <w:sz w:val="24"/>
              </w:rPr>
            </w:pPr>
            <w:r>
              <w:rPr>
                <w:rFonts w:hint="eastAsia" w:ascii="宋体" w:hAnsi="宋体" w:cs="宋体"/>
                <w:color w:val="000000"/>
                <w:kern w:val="0"/>
                <w:sz w:val="24"/>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rFonts w:hint="eastAsia" w:ascii="宋体" w:hAnsi="宋体" w:cs="宋体"/>
                <w:color w:val="000000"/>
                <w:kern w:val="0"/>
                <w:sz w:val="24"/>
              </w:rPr>
            </w:pPr>
            <w:r>
              <w:rPr>
                <w:rFonts w:hint="eastAsia" w:ascii="宋体" w:hAnsi="宋体" w:cs="宋体"/>
                <w:color w:val="000000"/>
                <w:kern w:val="0"/>
                <w:sz w:val="24"/>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rFonts w:hint="eastAsia" w:ascii="宋体" w:hAnsi="宋体" w:cs="宋体"/>
                <w:color w:val="000000"/>
                <w:kern w:val="0"/>
                <w:sz w:val="24"/>
              </w:rPr>
            </w:pPr>
            <w:r>
              <w:rPr>
                <w:rFonts w:hint="eastAsia" w:ascii="宋体" w:hAnsi="宋体" w:cs="宋体"/>
                <w:color w:val="000000"/>
                <w:kern w:val="0"/>
                <w:sz w:val="24"/>
              </w:rPr>
              <w:t>采购项目数量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line="320" w:lineRule="exact"/>
              <w:jc w:val="center"/>
              <w:rPr>
                <w:rFonts w:hint="eastAsia" w:ascii="宋体" w:hAnsi="宋体" w:cs="宋体"/>
                <w:color w:val="000000"/>
                <w:kern w:val="0"/>
                <w:sz w:val="24"/>
              </w:rPr>
            </w:pPr>
            <w:r>
              <w:rPr>
                <w:rFonts w:hint="eastAsia" w:ascii="宋体" w:hAnsi="宋体" w:cs="宋体"/>
                <w:color w:val="000000"/>
                <w:kern w:val="0"/>
                <w:sz w:val="24"/>
              </w:rPr>
              <w:t>采购总金额</w:t>
            </w:r>
          </w:p>
        </w:tc>
      </w:tr>
      <w:tr>
        <w:tblPrEx>
          <w:tblCellMar>
            <w:top w:w="0" w:type="dxa"/>
            <w:left w:w="0" w:type="dxa"/>
            <w:bottom w:w="0" w:type="dxa"/>
            <w:right w:w="0"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rFonts w:hint="eastAsia" w:ascii="宋体" w:hAnsi="宋体" w:cs="宋体"/>
                <w:color w:val="000000"/>
                <w:kern w:val="0"/>
                <w:sz w:val="24"/>
              </w:rPr>
            </w:pPr>
            <w:r>
              <w:rPr>
                <w:rFonts w:hint="eastAsia" w:ascii="宋体" w:hAnsi="宋体" w:cs="宋体"/>
                <w:color w:val="000000"/>
                <w:kern w:val="0"/>
                <w:sz w:val="24"/>
              </w:rPr>
              <w:t>政府集中采购</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line="32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line="32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bl>
    <w:p>
      <w:pPr>
        <w:pStyle w:val="4"/>
        <w:widowControl/>
        <w:wordWrap w:val="0"/>
        <w:spacing w:before="226" w:beforeAutospacing="0" w:after="226" w:afterAutospacing="0" w:line="320" w:lineRule="exact"/>
      </w:pPr>
      <w:r>
        <w:rPr>
          <w:rFonts w:hint="eastAsia" w:ascii="宋体" w:hAnsi="宋体" w:cs="宋体"/>
          <w:color w:val="000000"/>
        </w:rPr>
        <w:t>　　三、收到和处理政府信息公开申请情况</w:t>
      </w:r>
    </w:p>
    <w:tbl>
      <w:tblPr>
        <w:tblStyle w:val="5"/>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宋体" w:hAnsi="宋体" w:cs="宋体"/>
                <w:kern w:val="0"/>
                <w:sz w:val="24"/>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r>
              <w:rPr>
                <w:rFonts w:cs="Calibri"/>
                <w:kern w:val="0"/>
                <w:sz w:val="24"/>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r>
              <w:rPr>
                <w:rFonts w:cs="Calibri"/>
                <w:kern w:val="0"/>
                <w:sz w:val="24"/>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宋体" w:hAnsi="宋体" w:cs="宋体"/>
                <w:kern w:val="0"/>
                <w:sz w:val="24"/>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r>
              <w:rPr>
                <w:rFonts w:cs="Calibri"/>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4"/>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r>
              <w:rPr>
                <w:rFonts w:cs="Calibri"/>
                <w:kern w:val="0"/>
                <w:sz w:val="24"/>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r>
              <w:rPr>
                <w:rFonts w:cs="Calibri"/>
                <w:kern w:val="0"/>
                <w:sz w:val="24"/>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楷体" w:hAnsi="楷体" w:eastAsia="楷体" w:cs="楷体"/>
                <w:kern w:val="0"/>
                <w:sz w:val="24"/>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left"/>
              <w:rPr>
                <w:sz w:val="24"/>
              </w:rPr>
            </w:pPr>
            <w:r>
              <w:rPr>
                <w:rFonts w:hint="eastAsia" w:ascii="宋体" w:hAnsi="宋体" w:cs="宋体"/>
                <w:kern w:val="0"/>
                <w:sz w:val="24"/>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cs="Calibri"/>
                <w:kern w:val="0"/>
                <w:sz w:val="24"/>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4"/>
              </w:rPr>
              <w:t> </w:t>
            </w:r>
            <w:r>
              <w:rPr>
                <w:rFonts w:hint="eastAsia" w:cs="Calibri"/>
                <w:kern w:val="0"/>
                <w:sz w:val="24"/>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5" w:after="225" w:line="320" w:lineRule="exact"/>
              <w:jc w:val="left"/>
              <w:rPr>
                <w:sz w:val="24"/>
              </w:rPr>
            </w:pPr>
            <w:r>
              <w:rPr>
                <w:kern w:val="0"/>
                <w:sz w:val="24"/>
              </w:rPr>
              <w:t> </w:t>
            </w:r>
            <w:r>
              <w:rPr>
                <w:rFonts w:hint="eastAsia"/>
                <w:kern w:val="0"/>
                <w:sz w:val="24"/>
              </w:rPr>
              <w:t>0</w:t>
            </w:r>
          </w:p>
        </w:tc>
      </w:tr>
    </w:tbl>
    <w:p>
      <w:pPr>
        <w:pStyle w:val="4"/>
        <w:widowControl/>
        <w:wordWrap w:val="0"/>
        <w:spacing w:before="226" w:beforeAutospacing="0" w:after="226" w:afterAutospacing="0" w:line="320" w:lineRule="exact"/>
      </w:pPr>
      <w:r>
        <w:rPr>
          <w:rFonts w:hint="eastAsia" w:ascii="宋体" w:hAnsi="宋体" w:cs="宋体"/>
          <w:color w:val="000000"/>
        </w:rPr>
        <w:t>　　四、政府信息公开行政复议、行政诉讼情况</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3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结果维持</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0"/>
                <w:szCs w:val="20"/>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0"/>
                <w:szCs w:val="20"/>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0"/>
                <w:szCs w:val="20"/>
              </w:rPr>
              <w:t> </w:t>
            </w:r>
            <w:r>
              <w:rPr>
                <w:rFonts w:hint="eastAsia" w:cs="Calibri"/>
                <w:kern w:val="0"/>
                <w:sz w:val="20"/>
                <w:szCs w:val="20"/>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0"/>
                <w:szCs w:val="20"/>
              </w:rPr>
              <w:t> </w:t>
            </w:r>
            <w:r>
              <w:rPr>
                <w:rFonts w:hint="eastAsia" w:cs="Calibri"/>
                <w:kern w:val="0"/>
                <w:sz w:val="20"/>
                <w:szCs w:val="20"/>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0"/>
                <w:szCs w:val="20"/>
              </w:rPr>
              <w:t> </w:t>
            </w:r>
            <w:r>
              <w:rPr>
                <w:rFonts w:hint="eastAsia" w:cs="Calibri"/>
                <w:kern w:val="0"/>
                <w:sz w:val="20"/>
                <w:szCs w:val="20"/>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0"/>
                <w:szCs w:val="20"/>
              </w:rPr>
              <w:t> </w:t>
            </w:r>
            <w:r>
              <w:rPr>
                <w:rFonts w:hint="eastAsia" w:cs="Calibri"/>
                <w:kern w:val="0"/>
                <w:sz w:val="20"/>
                <w:szCs w:val="20"/>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cs="Calibri"/>
                <w:kern w:val="0"/>
                <w:sz w:val="20"/>
                <w:szCs w:val="20"/>
              </w:rPr>
              <w:t> </w:t>
            </w:r>
            <w:r>
              <w:rPr>
                <w:rFonts w:hint="eastAsia" w:cs="Calibri"/>
                <w:kern w:val="0"/>
                <w:sz w:val="20"/>
                <w:szCs w:val="20"/>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color w:val="000000"/>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320" w:lineRule="exact"/>
              <w:jc w:val="center"/>
              <w:rPr>
                <w:sz w:val="24"/>
              </w:rPr>
            </w:pPr>
            <w:r>
              <w:rPr>
                <w:rFonts w:hint="eastAsia" w:ascii="宋体" w:hAnsi="宋体" w:cs="宋体"/>
                <w:kern w:val="0"/>
                <w:sz w:val="20"/>
                <w:szCs w:val="20"/>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5" w:after="225" w:line="320" w:lineRule="exact"/>
              <w:jc w:val="left"/>
              <w:rPr>
                <w:sz w:val="24"/>
              </w:rPr>
            </w:pPr>
            <w:r>
              <w:rPr>
                <w:kern w:val="0"/>
                <w:sz w:val="24"/>
              </w:rPr>
              <w:t> </w:t>
            </w:r>
            <w:r>
              <w:rPr>
                <w:rFonts w:hint="eastAsia"/>
                <w:kern w:val="0"/>
                <w:sz w:val="24"/>
              </w:rPr>
              <w:t>0</w:t>
            </w:r>
          </w:p>
        </w:tc>
      </w:tr>
    </w:tbl>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五、存在的主要问题及改进情况</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（一）存在的主要问题</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一年来，我局的政府信息公开工作取得了一定的成效，但与保障人民群众知情和实际需求相比，还存在一定的差距。如从事信息公开工作的人员为兼职人员，工作力量略显不足；政府信息公开量、公开面、公开形式、公开深度等方面还需拓展、提升，以满足群众的要求。</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（二）改进措施</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2021年，我局将继续坚持以“主动公开、利企便民、优化服务”为宗旨，按照省市县有关要求，不断完善细化政府信息公开目录和内容，及时准确发布涉及群众切身利益，需要社会公众广泛知晓和参与的信息。一是增强服务意识。及时回复网民留言，为广大人民群众提供方便，真正做到以公开促廉政，以公开树形象，推动各项工作健康有序发展。二是加强自身建设。通过组织学习《中华人民共和国政府信息公开条例》、《福建省政府信息公开办法》，进一步掌握政策、吃透精神，进一步提高把握政府信息公开有关政策的能力。同时，通过开展政府信息公开的学习培训，提高机关干部对政府信息公开工作重要性和必要性的认识，将信息公开工作落实到每个中心所站，落到每一个岗位，并融入到业务工作之中，确保我局信息公开工作常态化、制度化。三是加强宣传解读。立足水利局职能，加强对全县水利工作重大政策的宣传和解读，通过网站、报刊、电视台和政务公开栏等载体向社会公众发布权威信息，正面引导舆论，引导公众支持和推动我县持续健康发展。四是加强总结提升。在今后的信息公开工作中，要主动学习借鉴其他政府部门网站的好经验、好做法，进一步加强与县政府信息公开小组的沟通与联系，多汇报、多请教，及时解决工作中出现的心情况、新问题。并不断强化管理、提升服务。　</w:t>
      </w:r>
    </w:p>
    <w:p>
      <w:pPr>
        <w:pStyle w:val="4"/>
        <w:widowControl/>
        <w:wordWrap w:val="0"/>
        <w:spacing w:before="226" w:beforeAutospacing="0" w:after="226" w:afterAutospacing="0" w:line="32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六、其他需要报告的事项</w:t>
      </w:r>
      <w:r>
        <w:rPr>
          <w:rFonts w:hint="eastAsia" w:ascii="宋体" w:hAnsi="宋体" w:eastAsia="宋体" w:cs="宋体"/>
          <w:sz w:val="24"/>
          <w:szCs w:val="24"/>
          <w:lang w:eastAsia="zh-CN"/>
        </w:rPr>
        <w:t>：无</w:t>
      </w:r>
    </w:p>
    <w:p>
      <w:pPr>
        <w:pStyle w:val="4"/>
        <w:widowControl/>
        <w:wordWrap w:val="0"/>
        <w:spacing w:before="226" w:beforeAutospacing="0" w:after="226" w:afterAutospacing="0" w:line="320" w:lineRule="exact"/>
        <w:ind w:firstLine="480"/>
        <w:rPr>
          <w:rFonts w:hint="eastAsia" w:ascii="宋体" w:hAnsi="宋体" w:eastAsia="宋体" w:cs="宋体"/>
          <w:sz w:val="24"/>
          <w:szCs w:val="24"/>
        </w:rPr>
      </w:pPr>
      <w:r>
        <w:rPr>
          <w:rFonts w:hint="eastAsia" w:ascii="宋体" w:hAnsi="宋体" w:eastAsia="宋体" w:cs="宋体"/>
          <w:sz w:val="24"/>
          <w:szCs w:val="24"/>
        </w:rPr>
        <w:t>　　</w:t>
      </w:r>
    </w:p>
    <w:sectPr>
      <w:pgSz w:w="11906" w:h="16838"/>
      <w:pgMar w:top="1134" w:right="1587" w:bottom="85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554F7"/>
    <w:rsid w:val="000A61F2"/>
    <w:rsid w:val="00351BB1"/>
    <w:rsid w:val="004655C1"/>
    <w:rsid w:val="00496211"/>
    <w:rsid w:val="0073555F"/>
    <w:rsid w:val="008C15BA"/>
    <w:rsid w:val="00B55055"/>
    <w:rsid w:val="00CB70FF"/>
    <w:rsid w:val="00D33B08"/>
    <w:rsid w:val="00DF6408"/>
    <w:rsid w:val="0F974DB4"/>
    <w:rsid w:val="1BAB2D28"/>
    <w:rsid w:val="1E1226CC"/>
    <w:rsid w:val="24EE4B81"/>
    <w:rsid w:val="30BC61A1"/>
    <w:rsid w:val="3A840A09"/>
    <w:rsid w:val="3E1554F7"/>
    <w:rsid w:val="4C61255C"/>
    <w:rsid w:val="5843633F"/>
    <w:rsid w:val="5A8C620A"/>
    <w:rsid w:val="6E1E00B4"/>
    <w:rsid w:val="6E7E67E9"/>
    <w:rsid w:val="7AF7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FollowedHyperlink"/>
    <w:basedOn w:val="6"/>
    <w:uiPriority w:val="0"/>
    <w:rPr>
      <w:rFonts w:hint="eastAsia" w:ascii="宋体" w:hAnsi="宋体" w:eastAsia="宋体" w:cs="宋体"/>
      <w:color w:val="008000"/>
      <w:u w:val="none"/>
    </w:rPr>
  </w:style>
  <w:style w:type="character" w:styleId="8">
    <w:name w:val="Hyperlink"/>
    <w:basedOn w:val="6"/>
    <w:qFormat/>
    <w:uiPriority w:val="0"/>
    <w:rPr>
      <w:color w:val="0563C1" w:themeColor="hyperlink"/>
      <w:u w:val="single"/>
      <w14:textFill>
        <w14:solidFill>
          <w14:schemeClr w14:val="hlink"/>
        </w14:solidFill>
      </w14:textFill>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292</Words>
  <Characters>1666</Characters>
  <Lines>13</Lines>
  <Paragraphs>3</Paragraphs>
  <TotalTime>3</TotalTime>
  <ScaleCrop>false</ScaleCrop>
  <LinksUpToDate>false</LinksUpToDate>
  <CharactersWithSpaces>1955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2020-01-07T01:19:00Z</dcterms:created>
  <dc:creator>Administrator</dc:creator>
  <cp:lastModifiedBy>Administrator</cp:lastModifiedBy>
  <dcterms:modified xsi:type="dcterms:W3CDTF">2021-04-20T03:59:18Z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76DAA38986F84A1B9ABC269C40504F38</vt:lpwstr>
  </property>
</Properties>
</file>