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26" w:beforeAutospacing="0" w:after="226" w:afterAutospacing="0" w:line="240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eastAsia="zh-CN"/>
        </w:rPr>
      </w:pPr>
      <w:r>
        <w:pict>
          <v:shape id="_x0000_s1026" o:spid="_x0000_s1026" o:spt="136" type="#_x0000_t136" style="position:absolute;left:0pt;margin-left:8.7pt;margin-top:113.25pt;height:62.4pt;width:432.75pt;mso-wrap-distance-bottom:0pt;mso-wrap-distance-left:9pt;mso-wrap-distance-right:9pt;mso-wrap-distance-top:0pt;z-index:251658240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将乐县卫生健康局" style="font-family:方正小标宋简体;font-size:36pt;v-rotate-letters:f;v-same-letter-heights:f;v-text-align:center;"/>
            <w10:wrap type="square"/>
          </v:shape>
        </w:pic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26" w:beforeAutospacing="0" w:after="226" w:afterAutospacing="0" w:line="240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26" w:beforeAutospacing="0" w:after="226" w:afterAutospacing="0" w:line="240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227330</wp:posOffset>
                </wp:positionV>
                <wp:extent cx="5829300" cy="0"/>
                <wp:effectExtent l="0" t="19050" r="7620" b="2667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45pt;margin-top:17.9pt;height:0pt;width:459pt;z-index:251660288;mso-width-relative:page;mso-height-relative:page;" filled="f" stroked="t" coordsize="21600,21600" o:gfxdata="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CQcMU1gAAAAYBAAAPAAAAAAAA&#10;AAEAIAAAACIAAABkcnMvZG93bnJldi54bWxQSwECFAAUAAAACACHTuJAc20iLdsBAACXAwAADgAA&#10;AAAAAAABACAAAAAlAQAAZHJzL2Uyb0RvYy54bWxQSwUGAAAAAAYABgBZAQAAcg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26" w:beforeAutospacing="0" w:after="226" w:afterAutospacing="0" w:line="6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eastAsia="zh-CN"/>
        </w:rPr>
        <w:t>将乐县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卫健局2019年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政府信息公开工作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26" w:beforeAutospacing="0" w:after="226" w:afterAutospacing="0" w:line="6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新修订的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《中华人民共和国政府信息公开条例》（以下简称《条例》），特向社会公布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年度我局信息公开年度报告。本报告由概述、主动公开信息情况、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依申请公开办理情况、因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信息公开申请行政复议、提起行政诉讼情况，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工作存在的主要问题及改进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措施</w:t>
      </w:r>
      <w:r>
        <w:rPr>
          <w:rFonts w:hint="eastAsia" w:ascii="仿宋_GB2312" w:hAnsi="仿宋_GB2312" w:eastAsia="仿宋_GB2312" w:cs="仿宋_GB2312"/>
          <w:sz w:val="32"/>
          <w:szCs w:val="32"/>
        </w:rPr>
        <w:t>和附表共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个部分组成。本报告中所列数据的统计期限自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年1月1日起至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年12月31日止。本报告的电子版可在“将乐县人民政府网站”（http://www.jiangle.gov.cn/）下载。如对本报告有任何疑问，请与将乐县卫生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局办公室联系（地址：将乐县古镛镇滨河北路45号；邮编：353300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电话：2322396，传真：2322396）。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480" w:leftChars="0" w:right="0" w:firstLine="0" w:firstLineChars="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我局认真贯彻《条例》、《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福建省信息公开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办法》，按照《国务院办公厅关于印发2019年政务公开工作要点的通知》（国办发〔2019〕14号）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和省、市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2019年政务公开工作主要任务的通知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精神及《福建省卫生健康委员会关于印发2019年政务公开工作主要任务分解表的通知》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要求，按照“公开是原则，不公开是例外”的要求，全面推进决策、执行、管理、服务、结果公开，结合卫生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健康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工作实际，狠抓落实，加强政策解读回应，扩大公众参与，增强公开实效，切实保障人民群众知情权、参与权、表达权和监督权，推进政府信息公开工作取得实效。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年，我局制作、获取政府信息总数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98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条，其中主动公开信息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97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条，依申请公开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条，不予以公开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条。与县电视合作开设《健康将乐》专栏，制作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期专栏。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大力开展健康科普，与移动、电信部门合作推送“健康知识”短信25条，覆盖128万人次，与电信、公交站部门合作通过电信机顶盒，公交车走字等方式进行政策宣传。印制《卫生与健康》墙报12期4900张，定制各类健康知识宣传折页67000张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突出财政预决算等信息公开。坚持依法合规的总体原则，严格按照政务公开审批程序和时限要求，及时公开财政预决算、“三公”经费、政府采购等相关信息。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　　二、主动公开政府信息情况</w:t>
      </w:r>
    </w:p>
    <w:tbl>
      <w:tblPr>
        <w:tblStyle w:val="3"/>
        <w:tblW w:w="8401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14"/>
        <w:gridCol w:w="2000"/>
        <w:gridCol w:w="1650"/>
        <w:gridCol w:w="203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4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制作数量</w:t>
            </w:r>
          </w:p>
        </w:tc>
        <w:tc>
          <w:tcPr>
            <w:tcW w:w="1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公开数量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规范性文件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4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1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其他对外管理服务事项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4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1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4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368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40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采购项目数量</w:t>
            </w:r>
          </w:p>
        </w:tc>
        <w:tc>
          <w:tcPr>
            <w:tcW w:w="368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27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政府集中采购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117655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26" w:beforeAutospacing="0" w:after="226" w:afterAutospacing="0" w:line="32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三、收到和处理政府信息公开申请情况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936"/>
        <w:gridCol w:w="2023"/>
        <w:gridCol w:w="798"/>
        <w:gridCol w:w="742"/>
        <w:gridCol w:w="742"/>
        <w:gridCol w:w="798"/>
        <w:gridCol w:w="951"/>
        <w:gridCol w:w="701"/>
        <w:gridCol w:w="6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26" w:beforeAutospacing="0" w:after="226" w:afterAutospacing="0" w:line="320" w:lineRule="exact"/>
        <w:ind w:left="0" w:right="0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四、政府信息公开行政复议、行政诉讼情况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8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　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政府信息公开主动性不够强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公开内容不够充实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对政府信息公开的有关细则和政策的把握还不够全面，政务公开的内容和时效性有待进一步加强。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下一步我局将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强化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政务信息公开有关内容的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学习教育，提高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工作人员的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业务水平。充实公开内容，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及时主动的抓好政府信息公开工作，做好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卫生健康政策解读，提高全系统政务公开服务水平。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20" w:firstLineChars="1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需要说明的其他事项（无）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20" w:firstLineChars="10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将乐县卫生健康局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20" w:firstLineChars="100"/>
        <w:jc w:val="right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2020年1月7日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sz w:val="21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1"/>
          <w:szCs w:val="24"/>
        </w:rPr>
      </w:pPr>
    </w:p>
    <w:sectPr>
      <w:pgSz w:w="11906" w:h="16838"/>
      <w:pgMar w:top="1134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6938B7"/>
    <w:multiLevelType w:val="singleLevel"/>
    <w:tmpl w:val="8E6938B7"/>
    <w:lvl w:ilvl="0" w:tentative="0">
      <w:start w:val="1"/>
      <w:numFmt w:val="chineseCounting"/>
      <w:suff w:val="nothing"/>
      <w:lvlText w:val="%1、"/>
      <w:lvlJc w:val="left"/>
      <w:pPr>
        <w:ind w:left="48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554F7"/>
    <w:rsid w:val="1BF36765"/>
    <w:rsid w:val="1DCE662F"/>
    <w:rsid w:val="26675CB5"/>
    <w:rsid w:val="3B1A7EDC"/>
    <w:rsid w:val="3E1554F7"/>
    <w:rsid w:val="4360536B"/>
    <w:rsid w:val="44604F32"/>
    <w:rsid w:val="455D299B"/>
    <w:rsid w:val="51BD1746"/>
    <w:rsid w:val="5F3514CD"/>
    <w:rsid w:val="5F395D34"/>
    <w:rsid w:val="61085232"/>
    <w:rsid w:val="67040C8A"/>
    <w:rsid w:val="6CC67BC2"/>
    <w:rsid w:val="6E7E67E9"/>
    <w:rsid w:val="78B77947"/>
    <w:rsid w:val="7AD01E80"/>
    <w:rsid w:val="7AF7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2019-12-18T06:59:00Z</dcterms:created>
  <dc:creator>Administrator</dc:creator>
  <cp:lastModifiedBy>零落</cp:lastModifiedBy>
  <cp:lastPrinted>2020-01-08T03:13:00Z</cp:lastPrinted>
  <dcterms:modified xsi:type="dcterms:W3CDTF">2020-01-08T06:53:18Z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