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Calibri" w:eastAsia="方正小标宋简体" w:cs="Times New Roman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"/>
        </w:rPr>
        <w:t>2019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年度将乐县企业劳动保障守法诚信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等级评价结果公示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根据人社部《企业劳动保障守法诚信等级评价办法》（人社部规〔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2016〕1号）和《三明市人力资源和社会保障局关于集中开展2019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年度劳动保障监察书面审查工作的通知》等文件规定，我县</w:t>
      </w:r>
      <w:r>
        <w:rPr>
          <w:rFonts w:hint="eastAsia" w:ascii="仿宋_GB2312" w:cs="仿宋_GB2312"/>
          <w:kern w:val="0"/>
          <w:sz w:val="32"/>
          <w:szCs w:val="32"/>
          <w:lang w:val="en-US" w:eastAsia="zh-CN" w:bidi="ar"/>
        </w:rPr>
        <w:t>人力资源和社会保障局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依据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2019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年度日常巡查、书面审查、投诉举报查处以及专项检查等劳动保障监察工作情况，对我县企业进行了劳动保障守法诚信等级评价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,全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县共评价出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A级企业21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家，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B级企业0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家，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C级企业0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家。现将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2019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年度全县用人单位劳动保障守法诚信等级评价结果进行公示（见附件），公示期为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7天（2020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-20</w:t>
      </w:r>
      <w:r>
        <w:rPr>
          <w:rFonts w:hint="eastAsia" w:ascii="仿宋_GB2312" w:cs="Times New Roman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年3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26日），公示期内，</w:t>
      </w:r>
      <w:r>
        <w:rPr>
          <w:rFonts w:hint="eastAsia" w:ascii="仿宋_GB2312" w:cs="Times New Roman"/>
          <w:kern w:val="0"/>
          <w:sz w:val="32"/>
          <w:szCs w:val="32"/>
          <w:lang w:val="en-US" w:eastAsia="zh-CN" w:bidi="ar"/>
        </w:rPr>
        <w:t>广大公众、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用人单位对拟评价结果有异议的，可以向县</w:t>
      </w:r>
      <w:r>
        <w:rPr>
          <w:rFonts w:hint="eastAsia" w:ascii="仿宋_GB2312" w:cs="Times New Roman"/>
          <w:kern w:val="0"/>
          <w:sz w:val="32"/>
          <w:szCs w:val="32"/>
          <w:lang w:val="en-US" w:eastAsia="zh-CN" w:bidi="ar"/>
        </w:rPr>
        <w:t>人社局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劳动保障监察</w:t>
      </w:r>
      <w:r>
        <w:rPr>
          <w:rFonts w:hint="eastAsia" w:ascii="仿宋_GB2312" w:cs="Times New Roman"/>
          <w:kern w:val="0"/>
          <w:sz w:val="32"/>
          <w:szCs w:val="32"/>
          <w:lang w:val="en-US" w:eastAsia="zh-CN" w:bidi="ar"/>
        </w:rPr>
        <w:t>大队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提出，并提交异议证据材料。</w:t>
      </w:r>
      <w:r>
        <w:rPr>
          <w:rFonts w:hint="eastAsia" w:ascii="仿宋_GB2312" w:cs="Times New Roman"/>
          <w:kern w:val="0"/>
          <w:sz w:val="32"/>
          <w:szCs w:val="32"/>
          <w:lang w:val="en-US" w:eastAsia="zh-CN" w:bidi="ar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联系人：</w:t>
      </w:r>
      <w:r>
        <w:rPr>
          <w:rFonts w:hint="eastAsia" w:ascii="仿宋_GB2312" w:cs="仿宋_GB2312"/>
          <w:kern w:val="0"/>
          <w:sz w:val="32"/>
          <w:szCs w:val="32"/>
          <w:lang w:val="en-US" w:eastAsia="zh-CN" w:bidi="ar"/>
        </w:rPr>
        <w:t>杨淑珍、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张联华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联系电话：</w:t>
      </w:r>
      <w:r>
        <w:rPr>
          <w:rFonts w:hint="eastAsia" w:ascii="仿宋_GB2312" w:cs="仿宋_GB2312"/>
          <w:kern w:val="0"/>
          <w:sz w:val="32"/>
          <w:szCs w:val="32"/>
          <w:lang w:val="en-US" w:eastAsia="zh-CN" w:bidi="ar"/>
        </w:rPr>
        <w:t>0598-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2267561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cs="Times New Roman"/>
          <w:kern w:val="0"/>
          <w:sz w:val="32"/>
          <w:szCs w:val="32"/>
          <w:lang w:val="en-US" w:eastAsia="zh-CN" w:bidi="ar"/>
        </w:rPr>
        <w:t>电子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邮箱：jlxldjc@163.com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1914" w:leftChars="198" w:right="0" w:hanging="1280" w:hangingChars="4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1916" w:leftChars="200" w:right="0" w:hanging="1276" w:hangingChars="399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1.2019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年度将乐县企业劳动保障守法诚信等级评价结果一览表（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A级）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1898" w:leftChars="493" w:right="0" w:hanging="320" w:hangingChars="1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2.2019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年度将乐县企业劳动保障守法诚信等级评价结果一览表（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B级）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1882" w:leftChars="488" w:right="0" w:hanging="320" w:hangingChars="1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3.2019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年度将乐县企业劳动保障守法诚信等级评价结果一览表（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C级）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1882" w:leftChars="488" w:right="0" w:hanging="320" w:hangingChars="1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1882" w:leftChars="488" w:right="0" w:hanging="320" w:hangingChars="1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cs="Times New Roman"/>
          <w:kern w:val="0"/>
          <w:sz w:val="32"/>
          <w:szCs w:val="32"/>
          <w:lang w:val="en-US" w:eastAsia="zh-CN" w:bidi="ar"/>
        </w:rPr>
        <w:t>(此件主动公开）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2880" w:firstLineChars="9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200" w:firstLineChars="1000"/>
        <w:jc w:val="both"/>
        <w:textAlignment w:val="auto"/>
        <w:rPr>
          <w:rFonts w:hint="eastAsia" w:ascii="黑体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将乐县人力资源和社会保障局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160" w:firstLineChars="1300"/>
        <w:jc w:val="both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>2020年3月18日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rPr>
          <w:rFonts w:hint="eastAsia" w:ascii="黑体" w:hAnsi="宋体" w:eastAsia="黑体" w:cs="Times New Roman"/>
          <w:kern w:val="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1588" w:gutter="0"/>
          <w:pgNumType w:fmt="numberInDash"/>
          <w:cols w:space="425" w:num="1"/>
          <w:docGrid w:type="lines" w:linePitch="312" w:charSpace="-84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将乐县企业劳动保障守法诚信等级评价结果一览表（</w:t>
      </w: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"/>
        </w:rPr>
        <w:t>A级）</w:t>
      </w:r>
    </w:p>
    <w:p>
      <w:pPr>
        <w:keepNext w:val="0"/>
        <w:keepLines w:val="0"/>
        <w:widowControl w:val="0"/>
        <w:suppressLineNumbers w:val="0"/>
        <w:spacing w:before="0" w:beforeAutospacing="0" w:after="130" w:afterLines="30" w:afterAutospacing="0" w:line="560" w:lineRule="exact"/>
        <w:ind w:left="0" w:right="0"/>
        <w:jc w:val="center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>2019年度</w:t>
      </w:r>
    </w:p>
    <w:tbl>
      <w:tblPr>
        <w:tblStyle w:val="6"/>
        <w:tblW w:w="0" w:type="auto"/>
        <w:tblInd w:w="-17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18"/>
        <w:gridCol w:w="2509"/>
        <w:gridCol w:w="1631"/>
        <w:gridCol w:w="1815"/>
        <w:gridCol w:w="2550"/>
        <w:gridCol w:w="975"/>
        <w:gridCol w:w="1845"/>
        <w:gridCol w:w="12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名称</w:t>
            </w:r>
          </w:p>
        </w:tc>
        <w:tc>
          <w:tcPr>
            <w:tcW w:w="25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信用代码</w:t>
            </w:r>
          </w:p>
        </w:tc>
        <w:tc>
          <w:tcPr>
            <w:tcW w:w="16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住所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法定代表人\负责人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评价依据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评价结果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 w:bidi="ar"/>
              </w:rPr>
              <w:t>评价时间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福建省将乐县玉华洞旅游开发有限公司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9135042877754666X6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将乐县古镛镇梅花村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张锦文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福建金森林业股份有限公司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91350000705188269J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将乐县水南镇三华南路50号12-15层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张锦文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中国移动通信集团福建有限公司将乐分公司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 xml:space="preserve">913504287051884000 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福建省将乐县七星街26号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李志强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福建闽通长运股份有限公司将乐汽车站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91350428855981465G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将乐县水南镇三华南路85号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朱跃胜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中国银行股份有限公司将乐支行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91350428855981692M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城关七星街27号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吴明玉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中国农业银行股份有限公司将乐县支行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9135042885598130XY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水南三华南路68号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林凯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中国建设银行股份有限公司将乐支行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91350428705188138X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古镛镇新将中路21号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韩鹏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将乐县农村信用合作联社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 xml:space="preserve">913504281559807000 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将乐县三华南路27号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吴钱通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三明市烟草公司将乐分公司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91350428155980277M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将乐县三华南路52路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修仰宁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中国电信集团有限公司将乐分公司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 xml:space="preserve">913504288559890000 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七星街26号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辜联耿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福建华电金湖电力有限公司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91350428731888162X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福建省将乐县三华南路33号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邓平强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福建金牛水泥有限公司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91350428770659629Q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将乐县古镛镇新路村石门岭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章旭升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将乐县玉华大药房医药有限公司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91350428754996772K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将乐县三华北路（三华商厦一楼）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林熙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中国电信股份有限公司将乐分公司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 xml:space="preserve">913504287573545000 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将乐县古镛镇七星街26号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辜联耿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福建永辉超市有限公司三明市将乐日照东门店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91350428335755560A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福建省三明市将乐县古镛镇日照东门中心广场地下一层商场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邱善玲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三明市供电服务有限公司将乐分公司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9135042805234303XK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将乐县古镛镇滨河北路13号三楼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郑则勇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福建鸿图房地产开发有限公司将乐分公司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9135042875735541XW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将乐县日照东门水木银华5号楼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游开辉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华田家俱（福建）有限责任公司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 xml:space="preserve">913504287052715000 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将乐县水南上朱林库厝山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刘淑招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将乐县佳丰木业有限公司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91350428782186347N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将乐县黄潭镇新兴工业园区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刘丽珍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将乐县万山林竹科技开发有限公司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913504286692599035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将乐县古镛镇龙池村张厝崂565栋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吴泽平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福建将乐冠深乐民文化体育发展有限公司</w:t>
            </w:r>
          </w:p>
        </w:tc>
        <w:tc>
          <w:tcPr>
            <w:tcW w:w="2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91350428MA346G2Y39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将乐县城南部新区迎宾大道西侧将乐县体育中心8号库位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马海军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企业遵守劳动保障法律、法规和规章，未因劳动保障违法行为被查处。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A级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将乐县企业劳动保障守法诚信等级评价结果一览表（</w:t>
      </w: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"/>
        </w:rPr>
        <w:t>B级）</w:t>
      </w:r>
    </w:p>
    <w:p>
      <w:pPr>
        <w:keepNext w:val="0"/>
        <w:keepLines w:val="0"/>
        <w:widowControl w:val="0"/>
        <w:suppressLineNumbers w:val="0"/>
        <w:spacing w:before="0" w:beforeAutospacing="0" w:after="130" w:afterLines="30" w:afterAutospacing="0" w:line="560" w:lineRule="exact"/>
        <w:ind w:left="0" w:right="0"/>
        <w:jc w:val="center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>2019年度</w:t>
      </w:r>
    </w:p>
    <w:tbl>
      <w:tblPr>
        <w:tblStyle w:val="6"/>
        <w:tblW w:w="0" w:type="auto"/>
        <w:tblInd w:w="-17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42"/>
        <w:gridCol w:w="1985"/>
        <w:gridCol w:w="1631"/>
        <w:gridCol w:w="1785"/>
        <w:gridCol w:w="2040"/>
        <w:gridCol w:w="1170"/>
        <w:gridCol w:w="2021"/>
        <w:gridCol w:w="160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7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企业名称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信用代码</w:t>
            </w:r>
          </w:p>
        </w:tc>
        <w:tc>
          <w:tcPr>
            <w:tcW w:w="16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住所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法定代表人\负责人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评价依据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评价结果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评价时间</w:t>
            </w:r>
          </w:p>
        </w:tc>
        <w:tc>
          <w:tcPr>
            <w:tcW w:w="16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评价部门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B级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将乐县企业劳动保障守法诚信等级评价结果一览表（</w:t>
      </w: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"/>
        </w:rPr>
        <w:t>C级）</w:t>
      </w:r>
    </w:p>
    <w:p>
      <w:pPr>
        <w:keepNext w:val="0"/>
        <w:keepLines w:val="0"/>
        <w:widowControl w:val="0"/>
        <w:suppressLineNumbers w:val="0"/>
        <w:spacing w:before="0" w:beforeAutospacing="0" w:after="130" w:afterLines="30" w:afterAutospacing="0" w:line="560" w:lineRule="exact"/>
        <w:ind w:left="0" w:right="0"/>
        <w:jc w:val="center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>2019年度</w:t>
      </w:r>
    </w:p>
    <w:tbl>
      <w:tblPr>
        <w:tblStyle w:val="6"/>
        <w:tblW w:w="0" w:type="auto"/>
        <w:tblInd w:w="-17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42"/>
        <w:gridCol w:w="1985"/>
        <w:gridCol w:w="1843"/>
        <w:gridCol w:w="1701"/>
        <w:gridCol w:w="2107"/>
        <w:gridCol w:w="1050"/>
        <w:gridCol w:w="1946"/>
        <w:gridCol w:w="160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7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企业名称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信用代码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住所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法定代表人\负责人</w:t>
            </w:r>
          </w:p>
        </w:tc>
        <w:tc>
          <w:tcPr>
            <w:tcW w:w="21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评价依据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评价结果</w:t>
            </w:r>
          </w:p>
        </w:tc>
        <w:tc>
          <w:tcPr>
            <w:tcW w:w="19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评价时间</w:t>
            </w:r>
          </w:p>
        </w:tc>
        <w:tc>
          <w:tcPr>
            <w:tcW w:w="16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评价部门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C级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2020年3月12日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将乐县人力资源和社会保障局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rPr>
          <w:rFonts w:hint="default" w:ascii="Calibri" w:hAnsi="Calibri" w:eastAsia="仿宋_GB2312" w:cs="Times New Roman"/>
          <w:kern w:val="2"/>
          <w:sz w:val="32"/>
          <w:szCs w:val="32"/>
        </w:rPr>
        <w:sectPr>
          <w:pgSz w:w="16838" w:h="11906" w:orient="landscape"/>
          <w:pgMar w:top="1800" w:right="1440" w:bottom="1800" w:left="1440" w:header="851" w:footer="1588" w:gutter="0"/>
          <w:pgNumType w:fmt="numberInDash"/>
          <w:cols w:space="425" w:num="1"/>
          <w:docGrid w:type="lines" w:linePitch="312" w:charSpace="-84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46" w:beforeLines="15" w:beforeAutospacing="0" w:after="0" w:afterAutospacing="0" w:line="0" w:lineRule="atLeast"/>
        <w:ind w:left="0" w:right="316" w:rightChars="100"/>
        <w:jc w:val="both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5619750" cy="1905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spacing w:before="46" w:beforeLines="15" w:line="0" w:lineRule="atLeast"/>
        <w:ind w:right="316" w:rightChars="100" w:firstLine="276" w:firstLineChars="100"/>
        <w:rPr>
          <w:rFonts w:hint="eastAsia" w:ascii="仿宋_GB2312" w:hAnsi="黑体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将乐县人力资源和社会保障局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日印发</w:t>
      </w:r>
    </w:p>
    <w:p>
      <w:pPr>
        <w:rPr>
          <w:rFonts w:hint="eastAsia" w:ascii="仿宋_GB2312" w:hAnsi="黑体"/>
          <w:sz w:val="30"/>
          <w:szCs w:val="30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45720</wp:posOffset>
                </wp:positionV>
                <wp:extent cx="5638800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3.6pt;height:0.75pt;width:444pt;z-index:251658240;mso-width-relative:page;mso-height-relative:page;" filled="f" stroked="t" coordsize="21600,21600" o:gfxdata="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epEh11gAAAAYBAAAP&#10;AAAAAAAAAAEAIAAAACIAAABkcnMvZG93bnJldi54bWxQSwECFAAUAAAACACHTuJAiZSF6eEBAACo&#10;AwAADgAAAAAAAAABACAAAAAlAQAAZHJzL2Uyb0RvYy54bWxQSwUGAAAAAAYABgBZAQAAe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134" w:right="1134" w:bottom="1134" w:left="1134" w:header="851" w:footer="158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B"/>
    <w:rsid w:val="000044E8"/>
    <w:rsid w:val="00017433"/>
    <w:rsid w:val="00053AEC"/>
    <w:rsid w:val="00075684"/>
    <w:rsid w:val="000C0DB6"/>
    <w:rsid w:val="000D4BFB"/>
    <w:rsid w:val="001020C1"/>
    <w:rsid w:val="00136181"/>
    <w:rsid w:val="00140976"/>
    <w:rsid w:val="00187010"/>
    <w:rsid w:val="001879A1"/>
    <w:rsid w:val="001A572E"/>
    <w:rsid w:val="001F3897"/>
    <w:rsid w:val="001F66D9"/>
    <w:rsid w:val="00200B9B"/>
    <w:rsid w:val="00210775"/>
    <w:rsid w:val="00252BA6"/>
    <w:rsid w:val="002552E8"/>
    <w:rsid w:val="00280A0F"/>
    <w:rsid w:val="00293D81"/>
    <w:rsid w:val="002A22B8"/>
    <w:rsid w:val="002E252E"/>
    <w:rsid w:val="002E56FB"/>
    <w:rsid w:val="002F39AA"/>
    <w:rsid w:val="003144FC"/>
    <w:rsid w:val="0032618C"/>
    <w:rsid w:val="00386085"/>
    <w:rsid w:val="003A4C53"/>
    <w:rsid w:val="004779E4"/>
    <w:rsid w:val="004A16CE"/>
    <w:rsid w:val="00502B49"/>
    <w:rsid w:val="00584BD5"/>
    <w:rsid w:val="005978A9"/>
    <w:rsid w:val="005C3933"/>
    <w:rsid w:val="005C433E"/>
    <w:rsid w:val="005C730F"/>
    <w:rsid w:val="00621AAB"/>
    <w:rsid w:val="0063457E"/>
    <w:rsid w:val="006373BE"/>
    <w:rsid w:val="00667C3B"/>
    <w:rsid w:val="006A017A"/>
    <w:rsid w:val="006B727A"/>
    <w:rsid w:val="006C48AF"/>
    <w:rsid w:val="006E2049"/>
    <w:rsid w:val="006E3BE4"/>
    <w:rsid w:val="006F0437"/>
    <w:rsid w:val="00723905"/>
    <w:rsid w:val="00770543"/>
    <w:rsid w:val="00780FF6"/>
    <w:rsid w:val="00791F6B"/>
    <w:rsid w:val="007929A7"/>
    <w:rsid w:val="007A1845"/>
    <w:rsid w:val="007A45A5"/>
    <w:rsid w:val="007D1804"/>
    <w:rsid w:val="007F20EB"/>
    <w:rsid w:val="00811FEC"/>
    <w:rsid w:val="00834F20"/>
    <w:rsid w:val="0083725F"/>
    <w:rsid w:val="00842B65"/>
    <w:rsid w:val="00876F0D"/>
    <w:rsid w:val="008A63F8"/>
    <w:rsid w:val="008B0303"/>
    <w:rsid w:val="008D358B"/>
    <w:rsid w:val="00923A0B"/>
    <w:rsid w:val="0092446E"/>
    <w:rsid w:val="009313F4"/>
    <w:rsid w:val="00955B76"/>
    <w:rsid w:val="00A36359"/>
    <w:rsid w:val="00A46CF1"/>
    <w:rsid w:val="00A650E5"/>
    <w:rsid w:val="00AA5691"/>
    <w:rsid w:val="00AA6390"/>
    <w:rsid w:val="00AD1AA0"/>
    <w:rsid w:val="00AD1F1E"/>
    <w:rsid w:val="00AD5578"/>
    <w:rsid w:val="00AF5D8E"/>
    <w:rsid w:val="00B15FDB"/>
    <w:rsid w:val="00B371EF"/>
    <w:rsid w:val="00B613E6"/>
    <w:rsid w:val="00BA2762"/>
    <w:rsid w:val="00BC2B4E"/>
    <w:rsid w:val="00BE1D86"/>
    <w:rsid w:val="00BE35A4"/>
    <w:rsid w:val="00BE6EF5"/>
    <w:rsid w:val="00BF00FC"/>
    <w:rsid w:val="00BF3E4D"/>
    <w:rsid w:val="00C3553B"/>
    <w:rsid w:val="00C44ED6"/>
    <w:rsid w:val="00C51F64"/>
    <w:rsid w:val="00C70426"/>
    <w:rsid w:val="00C81BAB"/>
    <w:rsid w:val="00CC6D4F"/>
    <w:rsid w:val="00CF002F"/>
    <w:rsid w:val="00CF3064"/>
    <w:rsid w:val="00CF62E0"/>
    <w:rsid w:val="00D22A4B"/>
    <w:rsid w:val="00D3507A"/>
    <w:rsid w:val="00D857F5"/>
    <w:rsid w:val="00DB7917"/>
    <w:rsid w:val="00E00ACA"/>
    <w:rsid w:val="00E07352"/>
    <w:rsid w:val="00E15000"/>
    <w:rsid w:val="00E22749"/>
    <w:rsid w:val="00E60558"/>
    <w:rsid w:val="00E86DF3"/>
    <w:rsid w:val="00F20361"/>
    <w:rsid w:val="00F246E9"/>
    <w:rsid w:val="00F320FD"/>
    <w:rsid w:val="00F40DD8"/>
    <w:rsid w:val="00F44924"/>
    <w:rsid w:val="00F83752"/>
    <w:rsid w:val="00FD0BD4"/>
    <w:rsid w:val="00FD7731"/>
    <w:rsid w:val="08887757"/>
    <w:rsid w:val="0DDC3CFC"/>
    <w:rsid w:val="12B767DD"/>
    <w:rsid w:val="1CB9448A"/>
    <w:rsid w:val="33E441D6"/>
    <w:rsid w:val="3ECB696E"/>
    <w:rsid w:val="4B5E22DA"/>
    <w:rsid w:val="4F55541D"/>
    <w:rsid w:val="5068003B"/>
    <w:rsid w:val="51410E79"/>
    <w:rsid w:val="52BF7E28"/>
    <w:rsid w:val="5761327C"/>
    <w:rsid w:val="5DEB4217"/>
    <w:rsid w:val="60357F01"/>
    <w:rsid w:val="685B25BF"/>
    <w:rsid w:val="6F1B1E83"/>
    <w:rsid w:val="72124AB0"/>
    <w:rsid w:val="750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794</Words>
  <Characters>4532</Characters>
  <Lines>1</Lines>
  <Paragraphs>1</Paragraphs>
  <TotalTime>14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2020-03-05T00:53:00Z</dcterms:created>
  <dc:creator>PC</dc:creator>
  <cp:lastModifiedBy>奔跑的菜鸟</cp:lastModifiedBy>
  <cp:lastPrinted>2020-03-18T01:25:00Z</cp:lastPrinted>
  <dcterms:modified xsi:type="dcterms:W3CDTF">2020-03-18T07:00:53Z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