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03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10" w:name="_GoBack"/>
      <w:bookmarkEnd w:id="1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58AD8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县域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商业建设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工作方案</w:t>
      </w:r>
    </w:p>
    <w:p w14:paraId="027DFBDF">
      <w:pPr>
        <w:pStyle w:val="2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（征求意见稿）</w:t>
      </w:r>
    </w:p>
    <w:p w14:paraId="6BBDB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0"/>
        </w:rPr>
      </w:pPr>
    </w:p>
    <w:p w14:paraId="17184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Toc11968"/>
      <w:bookmarkStart w:id="1" w:name="_Toc743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为做好2025年度我县县域商业建设行动工作，进一步提升县域商业建设成效，补齐商业基础设施短板，完善本地流通网络，促进农村消费提质扩容。现结合我县现状，制定本工作方案。</w:t>
      </w:r>
    </w:p>
    <w:p w14:paraId="65148E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一、指导思想</w:t>
      </w:r>
    </w:p>
    <w:p w14:paraId="0548C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习近平新时代中国特色社会主义思想为指导，深入贯彻党的二十大精神，立足新发展格局，完整、准确、全面贯彻新发展理念，构建新发展格局。以渠道下沉为主线，完善县域商业网络和农村物流配送“三点一线”为重点，加快补齐农村商业设施短板。建立以城区为中心、乡镇为重点、行政村为基础的农村商业体系，实现县域商业高质量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3FA9C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一、基本情况</w:t>
      </w:r>
    </w:p>
    <w:p w14:paraId="204DA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20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全县现拥有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个增强型县城综合商贸服务中心，1个基本型县级物流配送中心及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1个增强型县级物流配送中心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，13个乡镇商贸中心（其中1个提升型、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个增强型、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个基本型），基本型及以上乡镇商贸中心覆盖率100%，基本型以上乡镇快递物流服务站点覆盖乡镇数13个，乡镇快递物流服务站点覆盖率100%，基本型及以上村级便民商店覆盖率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%，“快递进村”覆盖率100%，县域物流共同配送率约60%，已达到增强型建设标准。</w:t>
      </w:r>
    </w:p>
    <w:p w14:paraId="21366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二、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任务</w:t>
      </w:r>
      <w:r>
        <w:rPr>
          <w:rFonts w:hint="eastAsia" w:ascii="黑体" w:hAnsi="黑体" w:eastAsia="黑体" w:cs="黑体"/>
          <w:sz w:val="32"/>
          <w:szCs w:val="20"/>
        </w:rPr>
        <w:t>目标</w:t>
      </w:r>
      <w:bookmarkEnd w:id="0"/>
      <w:bookmarkEnd w:id="1"/>
    </w:p>
    <w:p w14:paraId="3FDD48D5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（一）总体目标：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到2025年县域商业建设达到增强型标准。根据省、市发展规划，逐步建立完善县域统筹、以县城为中心、乡镇为重点、村为基础的农村商业体系。完成1个县城综合商贸服务中心、1个农贸市场、1个商圈、2个县级物流配送中心的建设改造。在做到基本型标准覆盖率100%的基础上，按照增强型标准实现拥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至少1个增强型及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1个基本型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县城综合商贸服务中心、1个增强型及以上县级物流配送中心、增强型及以上乡镇商贸中心覆盖率不低于30%、增强型及以上建制村便民商店覆盖率不低于30%。乡镇邮政、快递网点数、乡村快递通达率均达到100%。</w:t>
      </w:r>
    </w:p>
    <w:p w14:paraId="7D5451AA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（二）年度分解任务：</w:t>
      </w:r>
    </w:p>
    <w:p w14:paraId="2B7AECD0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目前，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达到增强型建设标准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2025年进一步提升县域商业体系建设成效，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实现建有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eastAsia="zh-CN"/>
        </w:rPr>
        <w:t>增强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型综合商贸服务中心、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eastAsia="zh-CN"/>
        </w:rPr>
        <w:t>增强型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物流配送中心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val="en-US" w:eastAsia="zh-CN"/>
        </w:rPr>
        <w:t>1个基本型物流配送中心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</w:rPr>
        <w:t>，乡镇商贸中心覆盖乡镇数基本型9个、增强型3个、提升型1个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lang w:eastAsia="zh-CN"/>
        </w:rPr>
        <w:t>，乡镇快递物流服务站点覆盖率100%，基本型以上村级便民商店122个，村级便民商店覆盖率90.37%，“快递进村”覆盖率100%，县域物流共同配送率约60%。</w:t>
      </w:r>
    </w:p>
    <w:p w14:paraId="06CDB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bookmarkStart w:id="2" w:name="_Toc27959"/>
      <w:bookmarkStart w:id="3" w:name="_Toc32395"/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20"/>
        </w:rPr>
        <w:t>、</w:t>
      </w:r>
      <w:bookmarkEnd w:id="2"/>
      <w:bookmarkEnd w:id="3"/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重点工作</w:t>
      </w:r>
    </w:p>
    <w:p w14:paraId="55CFD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0"/>
          <w:lang w:val="en-US" w:eastAsia="zh-CN"/>
        </w:rPr>
        <w:t>（一）健全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县域商业网点</w:t>
      </w:r>
    </w:p>
    <w:p w14:paraId="4B065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鼓励和引导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各乡镇和</w:t>
      </w:r>
      <w:r>
        <w:rPr>
          <w:rFonts w:hint="eastAsia" w:ascii="仿宋_GB2312" w:hAnsi="仿宋_GB2312" w:eastAsia="仿宋_GB2312" w:cs="仿宋_GB2312"/>
          <w:sz w:val="32"/>
          <w:szCs w:val="20"/>
        </w:rPr>
        <w:t>商贸流通企业通过自建、改造、合作等方式，围绕乡镇集贸市场，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建设改造乡镇商贸中心、集贸市场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指进行农副产品、日用消费品等现货商品交易的综合型固定场所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0"/>
        </w:rPr>
        <w:t>每个乡镇建设改造一个乡镇级商贸中心，优化生活服务供给，完善乡镇消费环境。引导县城大型商贸流通企业在各乡镇商贸中心设立直营店、加盟店、专卖店，延伸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20"/>
        </w:rPr>
        <w:t>保障，确保乡镇居民在家门口就能够享受同等的售后服务。</w:t>
      </w:r>
    </w:p>
    <w:p w14:paraId="322D1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责任单位：各乡镇人民政府、县工信局</w:t>
      </w:r>
    </w:p>
    <w:p w14:paraId="4B9298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0"/>
          <w:lang w:val="en-US" w:eastAsia="zh-CN"/>
        </w:rPr>
        <w:t>优化县域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流通网络</w:t>
      </w:r>
    </w:p>
    <w:p w14:paraId="64F51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0"/>
        </w:rPr>
        <w:t>推动商贸流通企业转型升级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0"/>
        </w:rPr>
        <w:t>加快数字化、连锁化转型升级，实现线上线下融合发展，提升农村流通水平。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建设改造用于提供县域内线上下单、线下配送服务的前置仓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0C68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责任单位：县工信局、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县农业农村局、</w:t>
      </w:r>
      <w:r>
        <w:rPr>
          <w:rFonts w:hint="eastAsia" w:ascii="仿宋_GB2312" w:hAnsi="仿宋_GB2312" w:eastAsia="仿宋_GB2312" w:cs="仿宋_GB2312"/>
          <w:sz w:val="32"/>
          <w:szCs w:val="20"/>
        </w:rPr>
        <w:t>供销社</w:t>
      </w:r>
    </w:p>
    <w:p w14:paraId="66F35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0"/>
          <w:lang w:val="en-US" w:eastAsia="zh-CN"/>
        </w:rPr>
        <w:t>（三）促进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县域产业发展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0"/>
        </w:rPr>
        <w:t>提高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0"/>
          <w:lang w:eastAsia="zh-CN"/>
        </w:rPr>
        <w:t>县域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0"/>
        </w:rPr>
        <w:t>农产品商品化处理能力。</w:t>
      </w:r>
      <w:r>
        <w:rPr>
          <w:rFonts w:hint="eastAsia" w:ascii="仿宋_GB2312" w:hAnsi="仿宋_GB2312" w:eastAsia="仿宋_GB2312" w:cs="仿宋_GB2312"/>
          <w:sz w:val="32"/>
          <w:szCs w:val="20"/>
        </w:rPr>
        <w:t>支持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商贸流通、电商企业建设改造分拣、预冷、初加工等农产品商品化处理设施</w:t>
      </w:r>
      <w:r>
        <w:rPr>
          <w:rFonts w:hint="eastAsia" w:ascii="仿宋_GB2312" w:hAnsi="仿宋_GB2312" w:eastAsia="仿宋_GB2312" w:cs="仿宋_GB2312"/>
          <w:sz w:val="32"/>
          <w:szCs w:val="20"/>
        </w:rPr>
        <w:t>。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支持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政府授权的企业建设改造区域公共品牌产品展销中心。</w:t>
      </w:r>
    </w:p>
    <w:p w14:paraId="182F7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责任单位：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20"/>
        </w:rPr>
        <w:t>农业农村局、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工信局、供销社</w:t>
      </w:r>
      <w:r>
        <w:rPr>
          <w:rFonts w:hint="eastAsia" w:ascii="仿宋_GB2312" w:hAnsi="仿宋_GB2312" w:eastAsia="仿宋_GB2312" w:cs="仿宋_GB2312"/>
          <w:sz w:val="32"/>
          <w:szCs w:val="20"/>
        </w:rPr>
        <w:t>、各乡镇人民政府</w:t>
      </w:r>
    </w:p>
    <w:p w14:paraId="371A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0"/>
          <w:lang w:eastAsia="zh-CN"/>
        </w:rPr>
      </w:pPr>
      <w:bookmarkStart w:id="4" w:name="_Toc27701"/>
      <w:bookmarkStart w:id="5" w:name="_Toc21256"/>
      <w:r>
        <w:rPr>
          <w:rFonts w:hint="eastAsia" w:ascii="黑体" w:hAnsi="黑体" w:eastAsia="黑体" w:cs="黑体"/>
          <w:sz w:val="32"/>
          <w:szCs w:val="20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20"/>
        </w:rPr>
        <w:t>、项目计划</w:t>
      </w:r>
      <w:r>
        <w:rPr>
          <w:rFonts w:hint="eastAsia" w:ascii="黑体" w:hAnsi="黑体" w:eastAsia="黑体" w:cs="黑体"/>
          <w:sz w:val="32"/>
          <w:szCs w:val="20"/>
          <w:lang w:eastAsia="zh-CN"/>
        </w:rPr>
        <w:t>及补助标准</w:t>
      </w:r>
    </w:p>
    <w:p w14:paraId="798B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20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0"/>
        </w:rPr>
        <w:t>（一）项目</w:t>
      </w:r>
      <w:r>
        <w:rPr>
          <w:rFonts w:hint="eastAsia" w:ascii="楷体_GB2312" w:hAnsi="楷体_GB2312" w:eastAsia="楷体_GB2312" w:cs="楷体_GB2312"/>
          <w:b/>
          <w:bCs/>
          <w:sz w:val="32"/>
          <w:szCs w:val="20"/>
          <w:lang w:eastAsia="zh-CN"/>
        </w:rPr>
        <w:t>遴选</w:t>
      </w:r>
    </w:p>
    <w:p w14:paraId="7C8E6A7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bidi="ar-SA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三明市商务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三明市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三明市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财政局关于做好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2025年度县域商业建设行动资金申报工作的通知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明商务商贸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号）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要求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bidi="ar-SA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县工信局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bidi="ar-SA"/>
        </w:rPr>
        <w:t>牵头负责征集项目，通过各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bidi="ar-SA"/>
        </w:rPr>
        <w:t>镇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及县直有关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bidi="ar-SA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推荐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bidi="ar-SA"/>
        </w:rPr>
        <w:t>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bidi="ar-SA"/>
        </w:rPr>
        <w:t>企业征集等渠道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征集项目经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初步审核，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拟定将乐县2025年县域商业建设行动储备项目库，同时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上报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市商务局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审核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（详见附件）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，由市商务局组织专家评审，确定拟支持项目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527E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20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0"/>
          <w:lang w:eastAsia="zh-CN"/>
        </w:rPr>
        <w:t>（二）补助标准</w:t>
      </w:r>
    </w:p>
    <w:p w14:paraId="70900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按照“先建后补”的原则，拟支持项目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经认定后给予不超过项目实际投入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不含税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50%的补助（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需经竣工验收并已实际运营，不再要求运营需满6个月）。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项目实际投入不含不动产购置、租赁费用，以及人员经费、水电费等经常性开支，实际投入金额由第三方机构审核认定。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补助标准依据《三明市商务局三明市农业农村局三明市财政局关于做好2025年度县域商业建设行动资金申报工作的通知》（明商务商贸〔2025〕5号）文件执行。</w:t>
      </w:r>
    </w:p>
    <w:p w14:paraId="0962D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20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0"/>
          <w:lang w:eastAsia="zh-CN"/>
        </w:rPr>
        <w:t>（三）项目验收</w:t>
      </w:r>
    </w:p>
    <w:p w14:paraId="217DDD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eastAsia="zh-CN"/>
        </w:rPr>
        <w:t>由县工信局牵头，组织县财政局、农业农村局等做好项目验收工作。对于最后一批验收的项目，若补助资金总额超过预拨资金，拟采取下调补助比例的方式拨付。同时，县工信局、财政局应做好项目的退出和增补工作，确保项目资金落实到位。对于无法按期完成和验收不合格的项目，及时向上级商务部门报备。</w:t>
      </w:r>
    </w:p>
    <w:p w14:paraId="7683A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20"/>
        </w:rPr>
        <w:t>、保障措施</w:t>
      </w:r>
      <w:bookmarkEnd w:id="4"/>
      <w:bookmarkEnd w:id="5"/>
    </w:p>
    <w:p w14:paraId="1F1EA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0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20"/>
        </w:rPr>
        <w:t>县域商业建设工作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专班组织领导</w:t>
      </w:r>
      <w:r>
        <w:rPr>
          <w:rFonts w:hint="eastAsia" w:ascii="仿宋_GB2312" w:hAnsi="仿宋_GB2312" w:eastAsia="仿宋_GB2312" w:cs="仿宋_GB2312"/>
          <w:sz w:val="32"/>
          <w:szCs w:val="20"/>
        </w:rPr>
        <w:t>，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专班</w:t>
      </w:r>
      <w:r>
        <w:rPr>
          <w:rFonts w:hint="eastAsia" w:ascii="仿宋_GB2312" w:hAnsi="仿宋_GB2312" w:eastAsia="仿宋_GB2312" w:cs="仿宋_GB2312"/>
          <w:sz w:val="32"/>
          <w:szCs w:val="20"/>
        </w:rPr>
        <w:t>部门积极参与，明确任务分工，形成政策合力，统筹推进县域商业建设行动。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要及时总结推广典型经验，促进相互交流与借鉴，增强示范带动作用。</w:t>
      </w:r>
    </w:p>
    <w:p w14:paraId="355C2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20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0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20"/>
          <w:lang w:val="en-US" w:eastAsia="zh-CN"/>
        </w:rPr>
        <w:t>项目管理制度。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按省、市相关文件要求，做好项目征集、遴选。细化项目验收流程，明确验收责任，规范验收行为，项目成熟一批，建设一批，验收一批。优化项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动态调整机制，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做好项目库管理，避免“钱等项目”。已支持项目清单需调整的，可在县域商业项目库中进行调整，做好公示经市商务局向省商务厅报备。</w:t>
      </w:r>
    </w:p>
    <w:p w14:paraId="77C2A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20"/>
        </w:rPr>
        <w:t>（三）严格资金管理。</w:t>
      </w:r>
      <w:r>
        <w:rPr>
          <w:rFonts w:hint="eastAsia" w:ascii="仿宋_GB2312" w:hAnsi="仿宋_GB2312" w:eastAsia="仿宋_GB2312" w:cs="仿宋_GB2312"/>
          <w:sz w:val="32"/>
          <w:szCs w:val="20"/>
        </w:rPr>
        <w:t>严格遵守国家有关法律法规和财务规章制度，明确专项资金支持对象和扶持范围，规范专项资金组织申报、审核把关、公开公示、拨付程序、验收检查等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20"/>
        </w:rPr>
        <w:t>全面推行阳光监督，确保专款专用。</w:t>
      </w:r>
    </w:p>
    <w:p w14:paraId="08957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</w:p>
    <w:p w14:paraId="053AE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/>
          <w:color w:val="auto"/>
          <w:sz w:val="32"/>
          <w:szCs w:val="20"/>
          <w:lang w:eastAsia="zh-CN"/>
        </w:rPr>
      </w:pPr>
      <w:bookmarkStart w:id="6" w:name="_Toc7862"/>
      <w:bookmarkStart w:id="7" w:name="_Toc20934"/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附件：</w:t>
      </w:r>
      <w:bookmarkEnd w:id="6"/>
      <w:bookmarkEnd w:id="7"/>
      <w:bookmarkStart w:id="8" w:name="_Toc25458"/>
      <w:bookmarkStart w:id="9" w:name="_Toc11226"/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将乐县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年县域商业建设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行动储备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</w:rPr>
        <w:t>项目</w:t>
      </w:r>
      <w:bookmarkEnd w:id="8"/>
      <w:bookmarkEnd w:id="9"/>
      <w:r>
        <w:rPr>
          <w:rFonts w:hint="eastAsia" w:ascii="仿宋_GB2312" w:hAnsi="仿宋_GB2312" w:eastAsia="仿宋_GB2312" w:cs="仿宋_GB2312"/>
          <w:color w:val="auto"/>
          <w:sz w:val="32"/>
          <w:szCs w:val="20"/>
          <w:lang w:eastAsia="zh-CN"/>
        </w:rPr>
        <w:t>库</w:t>
      </w:r>
    </w:p>
    <w:p w14:paraId="5D144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32"/>
          <w:szCs w:val="20"/>
        </w:rPr>
      </w:pPr>
    </w:p>
    <w:p w14:paraId="0FCFB6E5">
      <w:pPr>
        <w:pStyle w:val="2"/>
      </w:pPr>
    </w:p>
    <w:p w14:paraId="35C5FD27">
      <w:pPr>
        <w:pStyle w:val="2"/>
        <w:ind w:left="0" w:leftChars="0" w:firstLine="0" w:firstLineChars="0"/>
      </w:pPr>
    </w:p>
    <w:p w14:paraId="61559CD9">
      <w:pPr>
        <w:pStyle w:val="2"/>
      </w:pPr>
    </w:p>
    <w:p w14:paraId="7E6A7A25">
      <w:pPr>
        <w:rPr>
          <w:rFonts w:ascii="Times New Roman" w:hAnsi="Times New Roman" w:eastAsia="仿宋_GB2312"/>
          <w:sz w:val="32"/>
          <w:szCs w:val="20"/>
        </w:rPr>
      </w:pPr>
    </w:p>
    <w:p w14:paraId="2F144A17">
      <w:pPr>
        <w:pStyle w:val="2"/>
        <w:ind w:left="0" w:leftChars="0" w:firstLine="0" w:firstLineChars="0"/>
        <w:sectPr>
          <w:footerReference r:id="rId3" w:type="default"/>
          <w:pgSz w:w="11906" w:h="16838"/>
          <w:pgMar w:top="2098" w:right="1474" w:bottom="1984" w:left="1587" w:header="851" w:footer="992" w:gutter="0"/>
          <w:pgNumType w:start="1"/>
          <w:cols w:space="720" w:num="1"/>
          <w:rtlGutter w:val="0"/>
          <w:docGrid w:type="lines" w:linePitch="436" w:charSpace="0"/>
        </w:sectPr>
      </w:pPr>
    </w:p>
    <w:p w14:paraId="7B41C545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ascii="Times New Roman" w:hAnsi="Times New Roman" w:eastAsia="仿宋_GB2312"/>
          <w:sz w:val="32"/>
          <w:szCs w:val="20"/>
        </w:rPr>
        <w:object>
          <v:shape id="_x0000_i1025" o:spt="75" type="#_x0000_t75" style="height:474.45pt;width:697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DE8BDD-54A5-4E1D-AFE8-4289153A0D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AFF3BE-1C8F-4C14-B733-FB8032982F5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FCEEE57-20BA-40DC-866F-8577132A22A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971974C-5607-4464-AD4E-0B37366300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4AF28">
    <w:pPr>
      <w:pStyle w:val="5"/>
      <w:rPr>
        <w:szCs w:val="20"/>
      </w:rPr>
    </w:pPr>
    <w:r>
      <w:rPr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9C5EC8">
                          <w:pPr>
                            <w:snapToGrid w:val="0"/>
                            <w:rPr>
                              <w:rFonts w:hint="eastAsia" w:ascii="Times New Roman" w:hAnsi="Times New Roman" w:eastAsia="仿宋_GB2312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jeE+IBAADMAwAADgAAAGRycy9lMm9Eb2MueG1srVPNjtMwEL4j8Q6W&#10;7zTZroS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O2jeE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9C5EC8">
                    <w:pPr>
                      <w:snapToGrid w:val="0"/>
                      <w:rPr>
                        <w:rFonts w:hint="eastAsia" w:ascii="Times New Roman" w:hAnsi="Times New Roman" w:eastAsia="仿宋_GB2312"/>
                        <w:sz w:val="18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15590B"/>
    <w:multiLevelType w:val="singleLevel"/>
    <w:tmpl w:val="E415590B"/>
    <w:lvl w:ilvl="0" w:tentative="0">
      <w:start w:val="2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mRkOTQ1MjU2NjE2NTVmNmZjYzBlYmMwYjI0ZGIifQ=="/>
  </w:docVars>
  <w:rsids>
    <w:rsidRoot w:val="00000000"/>
    <w:rsid w:val="000B7FF2"/>
    <w:rsid w:val="02F508C2"/>
    <w:rsid w:val="0BE564B2"/>
    <w:rsid w:val="0C90220E"/>
    <w:rsid w:val="0D447276"/>
    <w:rsid w:val="117233EF"/>
    <w:rsid w:val="1B230080"/>
    <w:rsid w:val="250F1B30"/>
    <w:rsid w:val="2CC34E10"/>
    <w:rsid w:val="3EE721B7"/>
    <w:rsid w:val="447463E7"/>
    <w:rsid w:val="44C879E9"/>
    <w:rsid w:val="46BB7073"/>
    <w:rsid w:val="4A2033D0"/>
    <w:rsid w:val="4A273284"/>
    <w:rsid w:val="4D581648"/>
    <w:rsid w:val="5106182E"/>
    <w:rsid w:val="544D1B39"/>
    <w:rsid w:val="55900FAA"/>
    <w:rsid w:val="55C770D4"/>
    <w:rsid w:val="64562D5D"/>
    <w:rsid w:val="65B14764"/>
    <w:rsid w:val="65B14BD4"/>
    <w:rsid w:val="689D3EB3"/>
    <w:rsid w:val="68DF2735"/>
    <w:rsid w:val="6DCF34A7"/>
    <w:rsid w:val="6EB83127"/>
    <w:rsid w:val="6F865C95"/>
    <w:rsid w:val="71C7081C"/>
    <w:rsid w:val="78693BEA"/>
    <w:rsid w:val="7ABF3408"/>
    <w:rsid w:val="7BE40F02"/>
    <w:rsid w:val="7EBA3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next w:val="1"/>
    <w:qFormat/>
    <w:uiPriority w:val="0"/>
    <w:pPr>
      <w:widowControl w:val="0"/>
      <w:ind w:left="168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Body Text Indent"/>
    <w:next w:val="1"/>
    <w:qFormat/>
    <w:uiPriority w:val="0"/>
    <w:pPr>
      <w:widowControl w:val="0"/>
      <w:spacing w:line="660" w:lineRule="atLeast"/>
      <w:ind w:firstLine="580"/>
      <w:jc w:val="both"/>
    </w:pPr>
    <w:rPr>
      <w:rFonts w:ascii="仿宋_GB2312" w:hAnsi="Calibri" w:eastAsia="仿宋_GB2312" w:cs="宋体"/>
      <w:kern w:val="2"/>
      <w:sz w:val="28"/>
      <w:szCs w:val="32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qFormat/>
    <w:uiPriority w:val="0"/>
    <w:pPr>
      <w:widowControl w:val="0"/>
      <w:spacing w:line="360" w:lineRule="auto"/>
      <w:ind w:firstLine="420"/>
      <w:jc w:val="both"/>
    </w:pPr>
    <w:rPr>
      <w:rFonts w:ascii="宋体" w:hAnsi="宋体" w:eastAsia="仿宋_GB2312" w:cs="宋体"/>
      <w:kern w:val="2"/>
      <w:sz w:val="28"/>
      <w:szCs w:val="28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2210</Words>
  <Characters>2282</Characters>
  <Lines>0</Lines>
  <Paragraphs>0</Paragraphs>
  <TotalTime>57</TotalTime>
  <ScaleCrop>false</ScaleCrop>
  <LinksUpToDate>false</LinksUpToDate>
  <CharactersWithSpaces>2282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2025-04-24T02:11:00Z</dcterms:created>
  <dc:creator>Administrator</dc:creator>
  <cp:lastModifiedBy>tang</cp:lastModifiedBy>
  <cp:lastPrinted>2025-04-27T09:56:00Z</cp:lastPrinted>
  <dcterms:modified xsi:type="dcterms:W3CDTF">2025-11-03T08:40:43Z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eyJoZGlkIjoiYmQ3M2I0MTdlNTk0ZDI1MzkwODA3MTJiMTNjNGU5YzkiLCJ1c2VySWQiOiI0MDE2Nzc1MTEifQ==</vt:lpwstr>
  </property>
  <property fmtid="{D5CDD505-2E9C-101B-9397-08002B2CF9AE}" pid="4" name="ICV">
    <vt:lpwstr>75C2E301C57A443696C9EA38BBBE878D_13</vt:lpwstr>
  </property>
</Properties>
</file>