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30C9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-SA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kern w:val="2"/>
          <w:sz w:val="40"/>
          <w:szCs w:val="40"/>
          <w:lang w:val="en-US" w:eastAsia="zh-CN" w:bidi="ar-SA"/>
        </w:rPr>
        <w:t>附件2：</w:t>
      </w:r>
    </w:p>
    <w:p w14:paraId="3BC570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-SA"/>
        </w:rPr>
      </w:pPr>
      <w:r>
        <w:rPr>
          <w:rFonts w:hint="default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-SA"/>
        </w:rPr>
        <w:t>将乐县202</w:t>
      </w: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-SA"/>
        </w:rPr>
        <w:t>5</w:t>
      </w:r>
      <w:r>
        <w:rPr>
          <w:rFonts w:hint="default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-SA"/>
        </w:rPr>
        <w:t>年度县域商业建设拟新增项目明细</w:t>
      </w:r>
    </w:p>
    <w:bookmarkEnd w:id="0"/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8"/>
        <w:gridCol w:w="849"/>
        <w:gridCol w:w="769"/>
        <w:gridCol w:w="1125"/>
        <w:gridCol w:w="1163"/>
        <w:gridCol w:w="3525"/>
        <w:gridCol w:w="975"/>
        <w:gridCol w:w="3675"/>
        <w:gridCol w:w="1317"/>
      </w:tblGrid>
      <w:tr w14:paraId="37168C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5" w:hRule="atLeast"/>
        </w:trPr>
        <w:tc>
          <w:tcPr>
            <w:tcW w:w="538" w:type="dxa"/>
          </w:tcPr>
          <w:p w14:paraId="0CB85D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2"/>
                <w:szCs w:val="22"/>
                <w:vertAlign w:val="baseline"/>
                <w:lang w:val="en-US" w:eastAsia="zh-CN" w:bidi="ar-SA"/>
              </w:rPr>
              <w:t>序号</w:t>
            </w:r>
          </w:p>
        </w:tc>
        <w:tc>
          <w:tcPr>
            <w:tcW w:w="849" w:type="dxa"/>
          </w:tcPr>
          <w:p w14:paraId="108E2C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2"/>
                <w:szCs w:val="22"/>
                <w:vertAlign w:val="baseline"/>
                <w:lang w:val="en-US" w:eastAsia="zh-CN" w:bidi="ar-SA"/>
              </w:rPr>
              <w:t>项目名称</w:t>
            </w:r>
          </w:p>
        </w:tc>
        <w:tc>
          <w:tcPr>
            <w:tcW w:w="769" w:type="dxa"/>
          </w:tcPr>
          <w:p w14:paraId="1894F1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2"/>
                <w:szCs w:val="22"/>
                <w:vertAlign w:val="baseline"/>
                <w:lang w:val="en-US" w:eastAsia="zh-CN" w:bidi="ar-SA"/>
              </w:rPr>
              <w:t>建设类型</w:t>
            </w:r>
          </w:p>
        </w:tc>
        <w:tc>
          <w:tcPr>
            <w:tcW w:w="1125" w:type="dxa"/>
          </w:tcPr>
          <w:p w14:paraId="3C6644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2"/>
                <w:szCs w:val="22"/>
                <w:vertAlign w:val="baseline"/>
                <w:lang w:val="en-US" w:eastAsia="zh-CN" w:bidi="ar-SA"/>
              </w:rPr>
              <w:t>申报主体名称</w:t>
            </w:r>
          </w:p>
        </w:tc>
        <w:tc>
          <w:tcPr>
            <w:tcW w:w="1163" w:type="dxa"/>
          </w:tcPr>
          <w:p w14:paraId="39A153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2"/>
                <w:szCs w:val="22"/>
                <w:vertAlign w:val="baseline"/>
                <w:lang w:val="en-US" w:eastAsia="zh-CN" w:bidi="ar-SA"/>
              </w:rPr>
              <w:t>计划投资额</w:t>
            </w:r>
          </w:p>
          <w:p w14:paraId="20140A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2"/>
                <w:szCs w:val="22"/>
                <w:vertAlign w:val="baseline"/>
                <w:lang w:val="en-US" w:eastAsia="zh-CN" w:bidi="ar-SA"/>
              </w:rPr>
              <w:t>（万元）</w:t>
            </w:r>
          </w:p>
        </w:tc>
        <w:tc>
          <w:tcPr>
            <w:tcW w:w="3525" w:type="dxa"/>
          </w:tcPr>
          <w:p w14:paraId="29A9FF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2"/>
                <w:szCs w:val="22"/>
                <w:vertAlign w:val="baseline"/>
                <w:lang w:val="en-US" w:eastAsia="zh-CN" w:bidi="ar-SA"/>
              </w:rPr>
              <w:t>建设内容</w:t>
            </w:r>
          </w:p>
        </w:tc>
        <w:tc>
          <w:tcPr>
            <w:tcW w:w="975" w:type="dxa"/>
          </w:tcPr>
          <w:p w14:paraId="5C199E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2"/>
                <w:szCs w:val="22"/>
                <w:vertAlign w:val="baseline"/>
                <w:lang w:val="en-US" w:eastAsia="zh-CN" w:bidi="ar-SA"/>
              </w:rPr>
              <w:t>建设周期</w:t>
            </w:r>
          </w:p>
        </w:tc>
        <w:tc>
          <w:tcPr>
            <w:tcW w:w="3675" w:type="dxa"/>
          </w:tcPr>
          <w:p w14:paraId="3A97F7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2"/>
                <w:szCs w:val="22"/>
                <w:vertAlign w:val="baseline"/>
                <w:lang w:val="en-US" w:eastAsia="zh-CN" w:bidi="ar-SA"/>
              </w:rPr>
              <w:t>实现功能</w:t>
            </w:r>
          </w:p>
        </w:tc>
        <w:tc>
          <w:tcPr>
            <w:tcW w:w="1317" w:type="dxa"/>
          </w:tcPr>
          <w:p w14:paraId="614D69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2"/>
                <w:szCs w:val="22"/>
                <w:vertAlign w:val="baseline"/>
                <w:lang w:val="en-US" w:eastAsia="zh-CN" w:bidi="ar-SA"/>
              </w:rPr>
              <w:t>项目类型</w:t>
            </w:r>
          </w:p>
        </w:tc>
      </w:tr>
      <w:tr w14:paraId="459076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4" w:hRule="atLeast"/>
        </w:trPr>
        <w:tc>
          <w:tcPr>
            <w:tcW w:w="538" w:type="dxa"/>
            <w:vAlign w:val="center"/>
          </w:tcPr>
          <w:p w14:paraId="05BA81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pacing w:val="-2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20"/>
                <w:kern w:val="2"/>
                <w:sz w:val="18"/>
                <w:szCs w:val="18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849" w:type="dxa"/>
            <w:vAlign w:val="center"/>
          </w:tcPr>
          <w:p w14:paraId="09F198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pacing w:val="-2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pacing w:val="-20"/>
                <w:kern w:val="2"/>
                <w:sz w:val="18"/>
                <w:szCs w:val="18"/>
                <w:vertAlign w:val="baseline"/>
                <w:lang w:val="en-US" w:eastAsia="zh-CN" w:bidi="ar-SA"/>
              </w:rPr>
              <w:t>“山水将乐” 农特产品公共品牌展销一体化建设项目</w:t>
            </w:r>
          </w:p>
        </w:tc>
        <w:tc>
          <w:tcPr>
            <w:tcW w:w="769" w:type="dxa"/>
            <w:vAlign w:val="center"/>
          </w:tcPr>
          <w:p w14:paraId="3FBCE1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pacing w:val="-2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20"/>
                <w:kern w:val="2"/>
                <w:sz w:val="18"/>
                <w:szCs w:val="18"/>
                <w:vertAlign w:val="baseline"/>
                <w:lang w:val="en-US" w:eastAsia="zh-CN" w:bidi="ar-SA"/>
              </w:rPr>
              <w:t>新建</w:t>
            </w:r>
          </w:p>
        </w:tc>
        <w:tc>
          <w:tcPr>
            <w:tcW w:w="1125" w:type="dxa"/>
            <w:vAlign w:val="center"/>
          </w:tcPr>
          <w:p w14:paraId="4C15DD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pacing w:val="-2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20"/>
                <w:kern w:val="2"/>
                <w:sz w:val="18"/>
                <w:szCs w:val="18"/>
                <w:vertAlign w:val="baseline"/>
                <w:lang w:val="en-US" w:eastAsia="zh-CN" w:bidi="ar-SA"/>
              </w:rPr>
              <w:t>将乐县农文旅融合发展集团有限公司</w:t>
            </w:r>
          </w:p>
        </w:tc>
        <w:tc>
          <w:tcPr>
            <w:tcW w:w="1163" w:type="dxa"/>
            <w:vAlign w:val="center"/>
          </w:tcPr>
          <w:p w14:paraId="4F1060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pacing w:val="-2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20"/>
                <w:kern w:val="2"/>
                <w:sz w:val="18"/>
                <w:szCs w:val="18"/>
                <w:vertAlign w:val="baseline"/>
                <w:lang w:val="en-US" w:eastAsia="zh-CN" w:bidi="ar-SA"/>
              </w:rPr>
              <w:t>65</w:t>
            </w:r>
          </w:p>
        </w:tc>
        <w:tc>
          <w:tcPr>
            <w:tcW w:w="3525" w:type="dxa"/>
            <w:vAlign w:val="center"/>
          </w:tcPr>
          <w:p w14:paraId="65C1EB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pacing w:val="-2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pacing w:val="-20"/>
                <w:kern w:val="2"/>
                <w:sz w:val="18"/>
                <w:szCs w:val="18"/>
                <w:vertAlign w:val="baseline"/>
                <w:lang w:val="en-US" w:eastAsia="zh-CN" w:bidi="ar-SA"/>
              </w:rPr>
              <w:t>重点打造的集农产品展销、酒店美食体验、文旅综合服务于一体的特色融合门店，打造“山水将乐”县域公共品牌对外展示、推广、运营的核心阵地。</w:t>
            </w:r>
          </w:p>
        </w:tc>
        <w:tc>
          <w:tcPr>
            <w:tcW w:w="975" w:type="dxa"/>
            <w:vAlign w:val="center"/>
          </w:tcPr>
          <w:p w14:paraId="414D50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pacing w:val="-2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pacing w:val="-20"/>
                <w:kern w:val="2"/>
                <w:sz w:val="18"/>
                <w:szCs w:val="18"/>
                <w:vertAlign w:val="baseline"/>
                <w:lang w:val="en-US" w:eastAsia="zh-CN" w:bidi="ar-SA"/>
              </w:rPr>
              <w:t>202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20"/>
                <w:kern w:val="2"/>
                <w:sz w:val="18"/>
                <w:szCs w:val="18"/>
                <w:vertAlign w:val="baseline"/>
                <w:lang w:val="en-US" w:eastAsia="zh-CN" w:bidi="ar-SA"/>
              </w:rPr>
              <w:t>5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spacing w:val="-20"/>
                <w:kern w:val="2"/>
                <w:sz w:val="18"/>
                <w:szCs w:val="18"/>
                <w:vertAlign w:val="baseline"/>
                <w:lang w:val="en-US" w:eastAsia="zh-CN" w:bidi="ar-SA"/>
              </w:rPr>
              <w:t>.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20"/>
                <w:kern w:val="2"/>
                <w:sz w:val="18"/>
                <w:szCs w:val="18"/>
                <w:vertAlign w:val="baseline"/>
                <w:lang w:val="en-US" w:eastAsia="zh-CN" w:bidi="ar-SA"/>
              </w:rPr>
              <w:t>11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spacing w:val="-20"/>
                <w:kern w:val="2"/>
                <w:sz w:val="18"/>
                <w:szCs w:val="18"/>
                <w:vertAlign w:val="baseline"/>
                <w:lang w:val="en-US" w:eastAsia="zh-CN" w:bidi="ar-SA"/>
              </w:rPr>
              <w:t>-2026.0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20"/>
                <w:kern w:val="2"/>
                <w:sz w:val="18"/>
                <w:szCs w:val="18"/>
                <w:vertAlign w:val="baseline"/>
                <w:lang w:val="en-US" w:eastAsia="zh-CN" w:bidi="ar-SA"/>
              </w:rPr>
              <w:t>8</w:t>
            </w:r>
          </w:p>
        </w:tc>
        <w:tc>
          <w:tcPr>
            <w:tcW w:w="3675" w:type="dxa"/>
            <w:vAlign w:val="center"/>
          </w:tcPr>
          <w:p w14:paraId="647115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pacing w:val="-2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pacing w:val="-20"/>
                <w:kern w:val="2"/>
                <w:sz w:val="18"/>
                <w:szCs w:val="18"/>
                <w:vertAlign w:val="baseline"/>
                <w:lang w:val="en-US" w:eastAsia="zh-CN" w:bidi="ar-SA"/>
              </w:rPr>
              <w:t>门店以农文旅深度融合为理念，整合优质资源、丰富服务场景，实现“产品可购、美食可尝、文旅可享”。店内集中展示销售全县各乡镇甄选农特产品、绿色食品、地理标志产品及“镛有礼”系列伴手礼盒，涵盖食用菌、山茶油、笋制品、蜂蜜、红薯粉干、鲜百合等百余款特色好物，所有产品均经过统一品控、统一包装、统一溯源，让消费者放心选购将乐生态好物。</w:t>
            </w:r>
          </w:p>
          <w:p w14:paraId="06E84C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pacing w:val="-2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pacing w:val="-20"/>
                <w:kern w:val="2"/>
                <w:sz w:val="18"/>
                <w:szCs w:val="18"/>
                <w:vertAlign w:val="baseline"/>
                <w:lang w:val="en-US" w:eastAsia="zh-CN" w:bidi="ar-SA"/>
              </w:rPr>
              <w:t>同步联动玉华宾馆、天源酒店等旗下餐饮资源，推出星级酒店小份菜、特色预制菜、精品点心等美食预定，顾客既可现场品鉴地道将乐风味，也可选购半成品、成品带回家，打通“从田间到餐桌”的便捷通道，实现“品鉴—选购—复购”闭环。</w:t>
            </w:r>
          </w:p>
        </w:tc>
        <w:tc>
          <w:tcPr>
            <w:tcW w:w="1317" w:type="dxa"/>
            <w:vAlign w:val="center"/>
          </w:tcPr>
          <w:p w14:paraId="16F10C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pacing w:val="-2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pacing w:val="-20"/>
                <w:kern w:val="2"/>
                <w:sz w:val="18"/>
                <w:szCs w:val="18"/>
                <w:vertAlign w:val="baseline"/>
                <w:lang w:val="en-US" w:eastAsia="zh-CN" w:bidi="ar-SA"/>
              </w:rPr>
              <w:t>县域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20"/>
                <w:kern w:val="2"/>
                <w:sz w:val="18"/>
                <w:szCs w:val="18"/>
                <w:vertAlign w:val="baseline"/>
                <w:lang w:val="en-US" w:eastAsia="zh-CN" w:bidi="ar-SA"/>
              </w:rPr>
              <w:t>产业发展</w:t>
            </w:r>
          </w:p>
        </w:tc>
      </w:tr>
    </w:tbl>
    <w:p w14:paraId="1A122697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13222B"/>
    <w:rsid w:val="4C132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2026-09-16T00:59:00Z</dcterms:created>
  <dc:creator>tang</dc:creator>
  <cp:lastModifiedBy>tang</cp:lastModifiedBy>
  <dcterms:modified xsi:type="dcterms:W3CDTF">2026-09-16T00:59:41Z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3528D8DC6A5145678B9D3DCF201E727F_11</vt:lpwstr>
  </property>
  <property fmtid="{D5CDD505-2E9C-101B-9397-08002B2CF9AE}" pid="4" name="KSOTemplateDocerSaveRecord">
    <vt:lpwstr>eyJoZGlkIjoiYWY1ZjhiOWI0Y2IxNjYyMDkyMTMwYjcyNDY5Y2ViNTIiLCJ1c2VySWQiOiIxMTQ3NjU1MTA4In0=</vt:lpwstr>
  </property>
</Properties>
</file>