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3A62">
      <w:pPr>
        <w:rPr>
          <w:rFonts w:hint="eastAsia" w:ascii="仿宋" w:hAnsi="仿宋" w:eastAsia="仿宋_GB2312" w:cs="Times New Roman"/>
          <w:color w:val="000000"/>
          <w:sz w:val="32"/>
          <w:szCs w:val="32"/>
        </w:rPr>
      </w:pPr>
    </w:p>
    <w:tbl>
      <w:tblPr>
        <w:tblStyle w:val="6"/>
        <w:tblpPr w:leftFromText="180" w:rightFromText="180" w:vertAnchor="page" w:horzAnchor="page" w:tblpX="1482" w:tblpY="2230"/>
        <w:tblOverlap w:val="never"/>
        <w:tblW w:w="894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7"/>
        <w:gridCol w:w="1857"/>
      </w:tblGrid>
      <w:tr w14:paraId="350E82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atLeast"/>
        </w:trPr>
        <w:tc>
          <w:tcPr>
            <w:tcW w:w="7087" w:type="dxa"/>
            <w:noWrap w:val="0"/>
            <w:vAlign w:val="center"/>
          </w:tcPr>
          <w:p w14:paraId="7F07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1440" w:lineRule="exact"/>
              <w:jc w:val="distribute"/>
              <w:textAlignment w:val="bottom"/>
              <w:rPr>
                <w:rFonts w:hint="eastAsia" w:ascii="方正小标宋简体" w:hAnsi="Times New Roman" w:eastAsia="方正小标宋简体" w:cs="Times New Roman"/>
                <w:bCs/>
                <w:color w:val="FF0000"/>
                <w:w w:val="55"/>
                <w:sz w:val="120"/>
                <w:szCs w:val="120"/>
                <w:lang w:eastAsia="zh-CN"/>
              </w:rPr>
            </w:pPr>
            <w:bookmarkStart w:id="0" w:name="fhead1"/>
            <w:r>
              <w:rPr>
                <w:rFonts w:hint="eastAsia" w:ascii="方正小标宋简体" w:hAnsi="Times New Roman" w:eastAsia="方正小标宋简体" w:cs="Times New Roman"/>
                <w:b/>
                <w:bCs w:val="0"/>
                <w:color w:val="FF0000"/>
                <w:w w:val="55"/>
                <w:sz w:val="92"/>
                <w:szCs w:val="92"/>
                <w:lang w:eastAsia="zh-CN"/>
              </w:rPr>
              <w:t>将乐县农业</w:t>
            </w:r>
            <w:r>
              <w:rPr>
                <w:rFonts w:hint="eastAsia" w:ascii="方正小标宋简体" w:hAnsi="Times New Roman" w:eastAsia="方正小标宋简体" w:cs="Times New Roman"/>
                <w:b/>
                <w:bCs w:val="0"/>
                <w:color w:val="FF0000"/>
                <w:w w:val="55"/>
                <w:sz w:val="92"/>
                <w:szCs w:val="92"/>
                <w:lang w:val="en-US" w:eastAsia="zh-CN"/>
              </w:rPr>
              <w:t>农村</w:t>
            </w:r>
            <w:bookmarkEnd w:id="0"/>
            <w:r>
              <w:rPr>
                <w:rFonts w:hint="eastAsia" w:ascii="方正小标宋简体" w:hAnsi="Times New Roman" w:eastAsia="方正小标宋简体" w:cs="Times New Roman"/>
                <w:b/>
                <w:bCs w:val="0"/>
                <w:color w:val="FF0000"/>
                <w:w w:val="55"/>
                <w:sz w:val="92"/>
                <w:szCs w:val="92"/>
                <w:lang w:val="en-US" w:eastAsia="zh-CN"/>
              </w:rPr>
              <w:t>局</w:t>
            </w:r>
          </w:p>
          <w:p w14:paraId="3323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1440" w:lineRule="exact"/>
              <w:jc w:val="distribute"/>
              <w:textAlignment w:val="bottom"/>
              <w:rPr>
                <w:rFonts w:hint="eastAsia" w:ascii="方正小标宋简体" w:hAnsi="Times New Roman" w:eastAsia="方正小标宋简体" w:cs="Times New Roman"/>
                <w:bCs/>
                <w:color w:val="FF0000"/>
                <w:sz w:val="84"/>
                <w:szCs w:val="84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 w:val="0"/>
                <w:color w:val="FF0000"/>
                <w:sz w:val="72"/>
                <w:szCs w:val="72"/>
                <w:lang w:eastAsia="zh-CN"/>
              </w:rPr>
              <w:t>将乐县财政局</w:t>
            </w:r>
          </w:p>
        </w:tc>
        <w:tc>
          <w:tcPr>
            <w:tcW w:w="1857" w:type="dxa"/>
            <w:noWrap w:val="0"/>
            <w:vAlign w:val="center"/>
          </w:tcPr>
          <w:p w14:paraId="2DE2C69A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hAnsi="Times New Roman" w:eastAsia="方正小标宋简体" w:cs="Times New Roman"/>
                <w:b/>
                <w:bCs/>
                <w:color w:val="000000"/>
                <w:sz w:val="84"/>
                <w:szCs w:val="84"/>
              </w:rPr>
            </w:pPr>
            <w:bookmarkStart w:id="1" w:name="fhead2"/>
            <w:r>
              <w:rPr>
                <w:rFonts w:hint="eastAsia" w:ascii="方正小标宋简体" w:hAnsi="Times New Roman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1"/>
          </w:p>
        </w:tc>
      </w:tr>
    </w:tbl>
    <w:p w14:paraId="68D55ED6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eastAsia="zh-CN"/>
        </w:rPr>
        <w:t>农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E7C71D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</w:pPr>
      <w:bookmarkStart w:id="2" w:name="_GoBack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146050</wp:posOffset>
                </wp:positionV>
                <wp:extent cx="5715000" cy="24130"/>
                <wp:effectExtent l="0" t="19050" r="0" b="330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41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pt;margin-top:11.5pt;height:1.9pt;width:450pt;z-index:251659264;mso-width-relative:page;mso-height-relative:page;" filled="f" stroked="t" coordsize="21600,21600" o:gfxdata="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KDL7tsAAAAIAQAADwAAAAAAAAABACAAAAAiAAAAZHJzL2Rv&#10;d25yZXYueG1sUEsBAhQAFAAAAAgAh07iQGbFa3P+AQAA9wMAAA4AAAAAAAAAAQAgAAAAKgEAAGRy&#10;cy9lMm9Eb2MueG1sUEsFBgAAAAAGAAYAWQEAAJoFAAAAAA=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2"/>
    </w:p>
    <w:p w14:paraId="4AE0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  <w:t>将乐县农业农村局  将乐县财政局关于将乐县</w:t>
      </w:r>
    </w:p>
    <w:p w14:paraId="010CE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  <w:t>2025年度省级乡村振兴机制创新</w:t>
      </w:r>
    </w:p>
    <w:p w14:paraId="6474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u w:val="none"/>
          <w:lang w:val="en-US" w:eastAsia="zh-CN"/>
        </w:rPr>
        <w:t>奖补资金使用方案的通知</w:t>
      </w:r>
    </w:p>
    <w:p w14:paraId="6347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21B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各有关单位：</w:t>
      </w:r>
    </w:p>
    <w:p w14:paraId="13A72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贯彻落实中央、省、市、县委农村工作会议部署，学习应用“千村示范、万村整治”工程经验,有力有效推进乡村全面振兴，根据《中共福建省委农村工作领导小组办公室关于公布2024年度福建省乡村振兴机制创新优秀案例的通知 》（闽委农办〔2024〕26号）、《福建省财政厅 福建省农业农村厅关于提前下达2025年度乡村振兴机制创新奖补资金的通知》（闽财农指〔2024〕102号）文件精神，结合本县实际，现制定将乐县2025年度省级乡村振兴机制创新奖补资金使用方案，具体如下： </w:t>
      </w:r>
    </w:p>
    <w:p w14:paraId="5A686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一、资金来源 </w:t>
      </w:r>
    </w:p>
    <w:p w14:paraId="20670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乡村振兴机制创新奖补省级资金110万元。 </w:t>
      </w:r>
    </w:p>
    <w:p w14:paraId="18C3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二、资金使用范围 </w:t>
      </w:r>
    </w:p>
    <w:p w14:paraId="5BAF1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奖补资金由县统筹使用，支持省级示范乡镇、示范村及创建对象完善、提升、推广乡村振兴机制创新成果。  </w:t>
      </w:r>
    </w:p>
    <w:p w14:paraId="58FE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三、资金项目安排 </w:t>
      </w:r>
    </w:p>
    <w:p w14:paraId="25182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根据“试点先行探索”类优秀案例名单“打造农耕保姆服务平台 赋能生产托管产业升级”项目和“特色微创新”类优秀案例名单“创十星评十户助力乡村振兴 绘就美丽乡村新画卷”项目，分别由县委宣传部和县农业农村局组织实施，用于支持省级示范乡镇、示范村及创建对象完善、提升、推广乡村振兴机制创新成果。  </w:t>
      </w:r>
    </w:p>
    <w:p w14:paraId="6C40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四、项目建设单位 </w:t>
      </w:r>
    </w:p>
    <w:p w14:paraId="3B53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县委宣传部、县农业农村局</w:t>
      </w:r>
    </w:p>
    <w:p w14:paraId="6B89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五、项目概况</w:t>
      </w:r>
    </w:p>
    <w:p w14:paraId="280C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1.项目名称：打造“农耕保姆”服务模式夯实粮食安全根基提升项目</w:t>
      </w:r>
    </w:p>
    <w:p w14:paraId="19B25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项目实施单位：将乐县农业农村局</w:t>
      </w:r>
    </w:p>
    <w:p w14:paraId="6F43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项目负责人：叶连斌</w:t>
      </w:r>
    </w:p>
    <w:p w14:paraId="3B6D3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总投资：投资55万元</w:t>
      </w:r>
    </w:p>
    <w:p w14:paraId="2CCEB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主要建设内容：围绕“农耕保姆站”运行模式，建设“将乐智慧农业”数字化平台和县级农业社会化服务优质组织。</w:t>
      </w:r>
    </w:p>
    <w:p w14:paraId="68A5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2.项目名称：“创十星评十户”助力乡村振兴 绘就美丽乡村新画卷项目</w:t>
      </w:r>
    </w:p>
    <w:p w14:paraId="635DE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项目实施单位：中共将乐县委宣传部</w:t>
      </w:r>
    </w:p>
    <w:p w14:paraId="0541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项目负责人：熊玉林</w:t>
      </w:r>
    </w:p>
    <w:p w14:paraId="60DB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总投资：投资55万元</w:t>
      </w:r>
    </w:p>
    <w:p w14:paraId="4BD04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建设内容：遴选常口村、蛟湖村等省级示范村作为重点推广示范点，带动南口村、石富村等其他村推广发展，对宣传阵地进行重点打造，策划制作宣传推广作品，将这些无形的精神财富转化为有形的成果，发挥带动作用，以点带面放大“创十星评十户”品牌效应。</w:t>
      </w:r>
    </w:p>
    <w:p w14:paraId="3BFD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六、进度安排</w:t>
      </w:r>
    </w:p>
    <w:p w14:paraId="3949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2025年第一季度完成项目前期工作，第二季度完成招投标，第三季度施工建设，第四季度完成竣工验收。 </w:t>
      </w:r>
    </w:p>
    <w:p w14:paraId="0DCE7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七、成效目标 </w:t>
      </w:r>
    </w:p>
    <w:p w14:paraId="0E53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打造“农耕保姆”服务模式夯实粮食安全根基提升项目，通过数字化手段贯通供需两端，优化资源配置，强化过程监管，全面推动农业社会化服务向规范化、市场化方向迈进，与农民建立良好的利益联结关系，进而结成利益共同体。“创十星评十户”助力乡村振兴 绘就美丽乡村新画项目，通过有形的展示，让星级文明户获得更强烈的荣誉感和社会认同感，激励更多家庭参与创评，充分发挥群众在乡村治理中的主体作用，促进乡村文明建设。</w:t>
      </w:r>
    </w:p>
    <w:p w14:paraId="557C0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八、资金管理 </w:t>
      </w:r>
    </w:p>
    <w:p w14:paraId="3AFA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按照《福建省乡村振兴机制创新奖补项目资金管理办法（试行）》（闽委振兴办〔2024〕13 号）组织实施。按照国库集中支付有关规定做好资金拨付，加强预算绩效评价管理，确保财政资金发挥效益。县财政局及时下达资金，确保资金落实到位。县委宣传部、县农业农村局负责落实项目的具体实施，加强项目建设，按照规定的资金用途列支，规范财务核算与管理，确保专款专用。 </w:t>
      </w:r>
    </w:p>
    <w:p w14:paraId="06C97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B74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附件：1.将乐县2025年度省级乡村振兴机制创新奖补资金安排表 </w:t>
      </w:r>
    </w:p>
    <w:p w14:paraId="5D3D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1600" w:firstLineChars="500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2.将乐县2025年度省级乡村振兴机制创新奖补资金绩效目标表 </w:t>
      </w:r>
    </w:p>
    <w:p w14:paraId="57609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rPr>
          <w:rFonts w:hint="eastAsia"/>
          <w:lang w:eastAsia="zh-CN"/>
        </w:rPr>
      </w:pPr>
    </w:p>
    <w:p w14:paraId="54CFC13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/>
        <w:rPr>
          <w:rFonts w:hint="eastAsia"/>
          <w:lang w:eastAsia="zh-CN"/>
        </w:rPr>
      </w:pPr>
    </w:p>
    <w:p w14:paraId="6E002D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rPr>
          <w:rFonts w:hint="eastAsia"/>
          <w:lang w:eastAsia="zh-CN"/>
        </w:rPr>
      </w:pPr>
    </w:p>
    <w:p w14:paraId="26D00A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rPr>
          <w:rFonts w:hint="eastAsia"/>
          <w:lang w:eastAsia="zh-CN"/>
        </w:rPr>
      </w:pPr>
    </w:p>
    <w:p w14:paraId="27F18290"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将乐县农业农村局               将乐县财政局    </w:t>
      </w:r>
    </w:p>
    <w:p w14:paraId="40D97E6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 w14:paraId="394EBCF5">
      <w:pPr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440" w:firstLineChars="17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2025年5月28日    </w:t>
      </w:r>
    </w:p>
    <w:p w14:paraId="6D26FDAA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4E521B6C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3FF1A0C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B8607C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67329B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DDC4C9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D0E0DA7">
      <w:pPr>
        <w:pStyle w:val="1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F756F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top"/>
        <w:rPr>
          <w:w w:val="90"/>
          <w:sz w:val="36"/>
          <w:szCs w:val="36"/>
        </w:rPr>
        <w:sectPr>
          <w:footerReference r:id="rId3" w:type="default"/>
          <w:pgSz w:w="11906" w:h="16838"/>
          <w:pgMar w:top="1474" w:right="1474" w:bottom="1474" w:left="147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8" w:charSpace="0"/>
        </w:sectPr>
      </w:pPr>
    </w:p>
    <w:p w14:paraId="443A6E77">
      <w:pPr>
        <w:pStyle w:val="11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附件一</w:t>
      </w:r>
    </w:p>
    <w:p w14:paraId="7AC81C67">
      <w:pPr>
        <w:widowControl/>
        <w:spacing w:line="360" w:lineRule="exact"/>
        <w:jc w:val="center"/>
        <w:textAlignment w:val="center"/>
        <w:rPr>
          <w:rFonts w:hint="eastAsia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将乐县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2025年度省级乡村振兴机制创新奖补资金安排表</w:t>
      </w:r>
    </w:p>
    <w:p w14:paraId="795F3C67">
      <w:pPr>
        <w:widowControl/>
        <w:spacing w:line="360" w:lineRule="exact"/>
        <w:jc w:val="center"/>
        <w:textAlignment w:val="center"/>
        <w:rPr>
          <w:rFonts w:hint="eastAsia" w:ascii="Times New Roman" w:hAnsi="Times New Roman" w:eastAsia="方正仿宋简体" w:cs="Times New Roman"/>
          <w:sz w:val="30"/>
          <w:szCs w:val="30"/>
        </w:rPr>
      </w:pPr>
    </w:p>
    <w:tbl>
      <w:tblPr>
        <w:tblStyle w:val="7"/>
        <w:tblW w:w="12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01"/>
        <w:gridCol w:w="3143"/>
        <w:gridCol w:w="1210"/>
        <w:gridCol w:w="1365"/>
        <w:gridCol w:w="1872"/>
        <w:gridCol w:w="2665"/>
      </w:tblGrid>
      <w:tr w14:paraId="52EE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7" w:type="dxa"/>
            <w:noWrap w:val="0"/>
            <w:vAlign w:val="center"/>
          </w:tcPr>
          <w:p w14:paraId="0327B7DE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序号</w:t>
            </w:r>
          </w:p>
        </w:tc>
        <w:tc>
          <w:tcPr>
            <w:tcW w:w="1501" w:type="dxa"/>
            <w:noWrap w:val="0"/>
            <w:vAlign w:val="center"/>
          </w:tcPr>
          <w:p w14:paraId="6B583DAC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项目名称</w:t>
            </w:r>
          </w:p>
        </w:tc>
        <w:tc>
          <w:tcPr>
            <w:tcW w:w="3143" w:type="dxa"/>
            <w:noWrap w:val="0"/>
            <w:vAlign w:val="center"/>
          </w:tcPr>
          <w:p w14:paraId="735A0CD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主要建设内容</w:t>
            </w:r>
          </w:p>
        </w:tc>
        <w:tc>
          <w:tcPr>
            <w:tcW w:w="1210" w:type="dxa"/>
            <w:noWrap w:val="0"/>
            <w:vAlign w:val="center"/>
          </w:tcPr>
          <w:p w14:paraId="257CB80D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奖补资金（万元）</w:t>
            </w:r>
          </w:p>
        </w:tc>
        <w:tc>
          <w:tcPr>
            <w:tcW w:w="1365" w:type="dxa"/>
            <w:noWrap w:val="0"/>
            <w:vAlign w:val="center"/>
          </w:tcPr>
          <w:p w14:paraId="67BA1631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实施主体单位</w:t>
            </w:r>
          </w:p>
        </w:tc>
        <w:tc>
          <w:tcPr>
            <w:tcW w:w="1872" w:type="dxa"/>
            <w:noWrap w:val="0"/>
            <w:vAlign w:val="center"/>
          </w:tcPr>
          <w:p w14:paraId="004C230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进度安排</w:t>
            </w:r>
          </w:p>
        </w:tc>
        <w:tc>
          <w:tcPr>
            <w:tcW w:w="2665" w:type="dxa"/>
            <w:noWrap w:val="0"/>
            <w:vAlign w:val="center"/>
          </w:tcPr>
          <w:p w14:paraId="20121AAD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成效目标</w:t>
            </w:r>
          </w:p>
        </w:tc>
      </w:tr>
      <w:tr w14:paraId="5F1D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center"/>
          </w:tcPr>
          <w:p w14:paraId="762DF93A">
            <w:pPr>
              <w:pStyle w:val="11"/>
              <w:ind w:left="0" w:leftChars="0" w:firstLine="300" w:firstLineChars="10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 w14:paraId="52255B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7AB37B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“农耕保姆”服务模式夯实粮食安全根基提升项目</w:t>
            </w:r>
          </w:p>
          <w:p w14:paraId="1BF079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 w14:paraId="11EA9B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围绕"农耕保姆站"运行模式，建设“将乐智慧农业”数字化平台和县级农业社会化服务优质组织。</w:t>
            </w:r>
          </w:p>
        </w:tc>
        <w:tc>
          <w:tcPr>
            <w:tcW w:w="1210" w:type="dxa"/>
            <w:noWrap w:val="0"/>
            <w:vAlign w:val="center"/>
          </w:tcPr>
          <w:p w14:paraId="7FA55B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365" w:type="dxa"/>
            <w:noWrap w:val="0"/>
            <w:vAlign w:val="center"/>
          </w:tcPr>
          <w:p w14:paraId="781301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农业农村局</w:t>
            </w:r>
          </w:p>
        </w:tc>
        <w:tc>
          <w:tcPr>
            <w:tcW w:w="1872" w:type="dxa"/>
            <w:noWrap w:val="0"/>
            <w:vAlign w:val="center"/>
          </w:tcPr>
          <w:p w14:paraId="5358D8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2025年第一季度完成项目前期工作，第二季度完成招投标，第三季度施工建设，第四季度竣工验收、资金拨付。 </w:t>
            </w:r>
          </w:p>
          <w:p w14:paraId="74BA52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66F778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通过数字化手段贯通供需两端，优化资源配置，强化过程监管，全面推动农业社会化服务向规范化、市场化方向迈进，与农民建立良好的利益联结关系，进而结成利益共同体。</w:t>
            </w:r>
          </w:p>
        </w:tc>
      </w:tr>
      <w:tr w14:paraId="39A3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noWrap w:val="0"/>
            <w:vAlign w:val="center"/>
          </w:tcPr>
          <w:p w14:paraId="59D169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 w14:paraId="1259BE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“创十星评十户”助力乡村振兴 绘就美丽乡村新画卷</w:t>
            </w:r>
          </w:p>
          <w:p w14:paraId="742C68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 w14:paraId="3BBEBC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遴选常口村、蛟湖村等省级示范行政村作为重点推广示范点，对宣传阵地进行重点打造，策划制作宣传推广作品，将这些无形的精神财富转化为有形的成果，发挥带动作用，以点带面放大“创十星评十户”品牌效应。</w:t>
            </w:r>
          </w:p>
          <w:p w14:paraId="28BDB7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937D2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55</w:t>
            </w:r>
          </w:p>
        </w:tc>
        <w:tc>
          <w:tcPr>
            <w:tcW w:w="1365" w:type="dxa"/>
            <w:noWrap w:val="0"/>
            <w:vAlign w:val="center"/>
          </w:tcPr>
          <w:p w14:paraId="0EED04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县委宣传部</w:t>
            </w:r>
          </w:p>
        </w:tc>
        <w:tc>
          <w:tcPr>
            <w:tcW w:w="1872" w:type="dxa"/>
            <w:noWrap w:val="0"/>
            <w:vAlign w:val="center"/>
          </w:tcPr>
          <w:p w14:paraId="71A9A56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2025年第一季度完成项目前期工作，第二季度完成招投标，第三季度施工建设，第四季度竣工验收、资金拨付。</w:t>
            </w:r>
          </w:p>
        </w:tc>
        <w:tc>
          <w:tcPr>
            <w:tcW w:w="2665" w:type="dxa"/>
            <w:noWrap w:val="0"/>
            <w:vAlign w:val="center"/>
          </w:tcPr>
          <w:p w14:paraId="59BF8E5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通过有形的展示，让星级文明户获得更强烈的荣誉感和社会认同感，激励更多家庭参与创评，充分发挥群众在乡村治理中的主体作用，促进乡村文明建设。</w:t>
            </w:r>
          </w:p>
          <w:p w14:paraId="2194C7C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BAC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1" w:type="dxa"/>
            <w:gridSpan w:val="3"/>
            <w:noWrap w:val="0"/>
            <w:vAlign w:val="center"/>
          </w:tcPr>
          <w:p w14:paraId="3C9E2DC0">
            <w:pPr>
              <w:widowControl/>
              <w:tabs>
                <w:tab w:val="left" w:pos="3858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合计</w:t>
            </w:r>
          </w:p>
        </w:tc>
        <w:tc>
          <w:tcPr>
            <w:tcW w:w="1210" w:type="dxa"/>
            <w:noWrap w:val="0"/>
            <w:vAlign w:val="center"/>
          </w:tcPr>
          <w:p w14:paraId="74A7FA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110</w:t>
            </w:r>
          </w:p>
        </w:tc>
        <w:tc>
          <w:tcPr>
            <w:tcW w:w="1365" w:type="dxa"/>
            <w:noWrap w:val="0"/>
            <w:vAlign w:val="center"/>
          </w:tcPr>
          <w:p w14:paraId="39509F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2F234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65" w:type="dxa"/>
            <w:noWrap w:val="0"/>
            <w:vAlign w:val="center"/>
          </w:tcPr>
          <w:p w14:paraId="535CE7E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3B841B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3" w:lineRule="atLeast"/>
        <w:ind w:left="0" w:right="0"/>
        <w:jc w:val="both"/>
        <w:rPr>
          <w:rFonts w:hint="eastAsia" w:ascii="none" w:hAnsi="none" w:eastAsia="none" w:cs="none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0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769"/>
        <w:gridCol w:w="1327"/>
        <w:gridCol w:w="2208"/>
        <w:gridCol w:w="2531"/>
        <w:gridCol w:w="1509"/>
        <w:gridCol w:w="983"/>
      </w:tblGrid>
      <w:tr w14:paraId="6E216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464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3713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6EA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920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7FF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750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C8F5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3258F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0022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B3CF3">
            <w:pPr>
              <w:pStyle w:val="4"/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32"/>
                <w:szCs w:val="32"/>
                <w:lang w:eastAsia="zh-CN"/>
              </w:rPr>
              <w:t>将乐县</w:t>
            </w:r>
            <w:r>
              <w:rPr>
                <w:rFonts w:hint="default" w:ascii="Times New Roman" w:hAnsi="Times New Roman" w:eastAsia="方正小标宋简体" w:cs="Times New Roman"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eastAsia="方正小标宋简体" w:cs="Times New Roman"/>
                <w:bCs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Cs/>
                <w:sz w:val="32"/>
                <w:szCs w:val="32"/>
              </w:rPr>
              <w:t>年度省</w:t>
            </w:r>
            <w:r>
              <w:rPr>
                <w:rFonts w:ascii="Times New Roman" w:hAnsi="Times New Roman" w:eastAsia="方正小标宋简体" w:cs="Times New Roman"/>
                <w:bCs/>
                <w:sz w:val="32"/>
                <w:szCs w:val="32"/>
              </w:rPr>
              <w:t>级乡村振兴机制创新奖补资金</w:t>
            </w:r>
            <w:r>
              <w:rPr>
                <w:rFonts w:hint="default" w:ascii="Times New Roman" w:hAnsi="Times New Roman" w:eastAsia="方正小标宋简体" w:cs="Times New Roman"/>
                <w:bCs/>
                <w:sz w:val="32"/>
                <w:szCs w:val="32"/>
              </w:rPr>
              <w:t>绩效目标表</w:t>
            </w:r>
          </w:p>
        </w:tc>
      </w:tr>
      <w:tr w14:paraId="13F3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79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A79F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72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5C959">
            <w:pPr>
              <w:widowControl/>
              <w:spacing w:line="320" w:lineRule="exact"/>
              <w:ind w:left="292" w:hanging="300" w:hangingChars="100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年度省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级乡村振兴机制创新奖补资金</w:t>
            </w:r>
          </w:p>
        </w:tc>
      </w:tr>
      <w:tr w14:paraId="2294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79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D1CC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主管部门</w:t>
            </w:r>
          </w:p>
        </w:tc>
        <w:tc>
          <w:tcPr>
            <w:tcW w:w="220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50BB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将乐县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农业农村局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、县委宣传部</w:t>
            </w:r>
          </w:p>
        </w:tc>
        <w:tc>
          <w:tcPr>
            <w:tcW w:w="253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EB66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财政部门</w:t>
            </w:r>
          </w:p>
        </w:tc>
        <w:tc>
          <w:tcPr>
            <w:tcW w:w="24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9B30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将乐县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财政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局</w:t>
            </w:r>
          </w:p>
        </w:tc>
      </w:tr>
      <w:tr w14:paraId="398E3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2791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C263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资金情况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220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65883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奖补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资金总额</w:t>
            </w:r>
          </w:p>
        </w:tc>
        <w:tc>
          <w:tcPr>
            <w:tcW w:w="5023" w:type="dxa"/>
            <w:gridSpan w:val="3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67CE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110</w:t>
            </w:r>
          </w:p>
        </w:tc>
      </w:tr>
      <w:tr w14:paraId="6BE53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6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D60F7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总体目标</w:t>
            </w:r>
          </w:p>
        </w:tc>
        <w:tc>
          <w:tcPr>
            <w:tcW w:w="9327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5DCD6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完善提升乡村振兴创新机制，宣传推广典型经验，探索解决难点堵点问题，打造培育特色品牌，推动好经验、好做法成为工作制度在更大范围推广应用</w:t>
            </w:r>
          </w:p>
        </w:tc>
      </w:tr>
      <w:tr w14:paraId="460C1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6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E070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绩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效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标</w:t>
            </w:r>
          </w:p>
        </w:tc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9983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一级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1648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6B50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C16E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指标解释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6DFD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项目单位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DD33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区域目标值</w:t>
            </w:r>
          </w:p>
        </w:tc>
      </w:tr>
      <w:tr w14:paraId="591C4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CB536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8B51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成本</w:t>
            </w:r>
          </w:p>
          <w:p w14:paraId="5290B54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4A80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经济成本</w:t>
            </w:r>
          </w:p>
          <w:p w14:paraId="72DA3393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F3B52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乡村振兴机制创新奖补资金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A8673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乡村振兴机制创新奖补资金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06EB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</w:p>
          <w:p w14:paraId="173EE62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82AA0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&gt;=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110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万元</w:t>
            </w:r>
          </w:p>
        </w:tc>
      </w:tr>
      <w:tr w14:paraId="46E6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6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3D757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78A49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产出</w:t>
            </w:r>
          </w:p>
          <w:p w14:paraId="795B21DB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64993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EA347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补助项目个数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CFB57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支持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乡村振兴创新机制成果完善、提升、推广的具体项目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AA9A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</w:p>
          <w:p w14:paraId="37FB7CC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590FF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个</w:t>
            </w:r>
          </w:p>
        </w:tc>
      </w:tr>
      <w:tr w14:paraId="2602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95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2CF71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36B4A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3A75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840D8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项目验收合格率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FFDF6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项目验收合格率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A499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单位、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乡（镇）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C9CF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100%</w:t>
            </w:r>
          </w:p>
        </w:tc>
      </w:tr>
      <w:tr w14:paraId="47079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95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47A5C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vMerge w:val="continue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A998D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0C9C8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5BACB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任务完成率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01396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乡村振兴创新机制2025任务完成情况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9E2A8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单位、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乡（镇）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E0E5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100%</w:t>
            </w:r>
          </w:p>
        </w:tc>
      </w:tr>
      <w:tr w14:paraId="13DD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695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61CDC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E69D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效益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DE90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社会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效益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76623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基本实现乡村振兴创新机制成果完善、提升、推广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45D9D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基本实现乡村振兴创新机制成果完善、提升、推广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E002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单位、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乡（镇）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F367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100%</w:t>
            </w:r>
          </w:p>
        </w:tc>
      </w:tr>
      <w:tr w14:paraId="33E8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6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6E596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C5D8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1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F55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服务对象满意度指标</w:t>
            </w:r>
          </w:p>
        </w:tc>
        <w:tc>
          <w:tcPr>
            <w:tcW w:w="22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A9AF5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乡村振兴创新机制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服务对象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满意度</w:t>
            </w:r>
          </w:p>
        </w:tc>
        <w:tc>
          <w:tcPr>
            <w:tcW w:w="25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6C990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乡村振兴创新机制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服务对象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满意度</w:t>
            </w:r>
          </w:p>
        </w:tc>
        <w:tc>
          <w:tcPr>
            <w:tcW w:w="15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8A83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 w:bidi="ar"/>
              </w:rPr>
              <w:t>单位、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乡（镇）</w:t>
            </w:r>
          </w:p>
        </w:tc>
        <w:tc>
          <w:tcPr>
            <w:tcW w:w="9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ACD7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&gt;=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bidi="ar"/>
              </w:rPr>
              <w:t>90%</w:t>
            </w:r>
          </w:p>
        </w:tc>
      </w:tr>
    </w:tbl>
    <w:p w14:paraId="681EFAE1">
      <w:pPr>
        <w:pStyle w:val="2"/>
        <w:numPr>
          <w:ilvl w:val="2"/>
          <w:numId w:val="0"/>
        </w:numPr>
        <w:ind w:leftChars="0"/>
        <w:sectPr>
          <w:pgSz w:w="16838" w:h="11906" w:orient="landscape"/>
          <w:pgMar w:top="1474" w:right="1474" w:bottom="1474" w:left="147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8" w:charSpace="0"/>
        </w:sectPr>
      </w:pPr>
    </w:p>
    <w:p w14:paraId="3AC06670"/>
    <w:p w14:paraId="66429A75"/>
    <w:sectPr>
      <w:pgSz w:w="16838" w:h="11906" w:orient="landscape"/>
      <w:pgMar w:top="1474" w:right="1474" w:bottom="1474" w:left="147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970CC-0C08-4108-9544-391D5D1B0A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0C8E0A-9EF8-4EAC-BECB-383C7C2CA1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5DBE62-7171-4DFA-9E39-AEC6910F82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9B99E4-25A9-46FF-8033-030779AE388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8830BDBB-B957-4287-952A-4C71863E1B2D}"/>
  </w:font>
  <w:font w:name="no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028BF14-91C0-4762-9290-82878883865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9D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17E8A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7E8A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D2C43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C4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Next/>
      <w:keepLines/>
      <w:widowControl w:val="0"/>
      <w:numPr>
        <w:ilvl w:val="2"/>
        <w:numId w:val="1"/>
      </w:numPr>
      <w:suppressAutoHyphens/>
      <w:spacing w:before="260" w:after="260" w:line="412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1.正文"/>
    <w:basedOn w:val="1"/>
    <w:qFormat/>
    <w:uiPriority w:val="0"/>
    <w:rPr>
      <w:szCs w:val="22"/>
    </w:rPr>
  </w:style>
  <w:style w:type="paragraph" w:customStyle="1" w:styleId="11">
    <w:name w:val="BodyText1I2"/>
    <w:basedOn w:val="12"/>
    <w:qFormat/>
    <w:uiPriority w:val="0"/>
    <w:pPr>
      <w:widowControl/>
      <w:spacing w:before="100" w:beforeAutospacing="1" w:after="100" w:afterAutospacing="1" w:line="240" w:lineRule="auto"/>
      <w:ind w:firstLine="420" w:firstLineChars="200"/>
      <w:jc w:val="left"/>
      <w:textAlignment w:val="baseline"/>
    </w:pPr>
  </w:style>
  <w:style w:type="paragraph" w:customStyle="1" w:styleId="12">
    <w:name w:val="BodyTextIndent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2025-05-20T09:28:43Z</dcterms:created>
  <dc:creator>Administrator</dc:creator>
  <cp:lastModifiedBy>落雨流殇</cp:lastModifiedBy>
  <dcterms:modified xsi:type="dcterms:W3CDTF">2025-05-20T09:28:55Z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eyJoZGlkIjoiZWE2YmY3ZDE3MTAzZWQzNDNmNzRmMzBmNTdhNDZmODMiLCJ1c2VySWQiOiIzODU4ODk0MTMifQ==</vt:lpwstr>
  </property>
  <property fmtid="{D5CDD505-2E9C-101B-9397-08002B2CF9AE}" pid="4" name="ICV">
    <vt:lpwstr>407A68604D854820A475AA97E19D3212_12</vt:lpwstr>
  </property>
</Properties>
</file>