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35C67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将乐县应急管理局关于规范安全生产</w:t>
      </w:r>
    </w:p>
    <w:p w14:paraId="4572327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执法行为的实施细则（征求意见稿）</w:t>
      </w:r>
      <w:bookmarkStart w:id="0" w:name="_GoBack"/>
      <w:bookmarkEnd w:id="0"/>
    </w:p>
    <w:p w14:paraId="7F3939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34EEB41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第一章　总则</w:t>
      </w:r>
    </w:p>
    <w:p w14:paraId="22D9430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第一条　制定依据与目的 </w:t>
      </w:r>
      <w:r>
        <w:rPr>
          <w:rFonts w:hint="eastAsia" w:ascii="仿宋_GB2312" w:hAnsi="仿宋_GB2312" w:eastAsia="仿宋_GB2312" w:cs="仿宋_GB2312"/>
          <w:sz w:val="32"/>
          <w:szCs w:val="32"/>
        </w:rPr>
        <w:t xml:space="preserve"> 为深入推进依法行政，全面规范安全生产执法行为，健全行政执法管理制度体系，严格落实行政执法公示、执法全过程记录、重大执法决定法制审核“三项制度”，规范自由裁量权，提升安全生产领域执法规范化、法治化、专业化水平，依据《中华人民共和国行政处罚法》《中华人民共和国行政强制法》《中华人民共和国安全生产法》《应急管理部关于严格规范安全生产执法行为的通知》等法律法规及规章规定，结合我县安全生产领域行政执法工作实际，制定本实施细则。</w:t>
      </w:r>
    </w:p>
    <w:p w14:paraId="72279C3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第二条　适用范围</w:t>
      </w:r>
      <w:r>
        <w:rPr>
          <w:rFonts w:hint="eastAsia" w:ascii="仿宋_GB2312" w:hAnsi="仿宋_GB2312" w:eastAsia="仿宋_GB2312" w:cs="仿宋_GB2312"/>
          <w:sz w:val="32"/>
          <w:szCs w:val="32"/>
        </w:rPr>
        <w:t xml:space="preserve">  本县行政区域内应急管理部门及其</w:t>
      </w:r>
      <w:r>
        <w:rPr>
          <w:rFonts w:hint="eastAsia" w:ascii="仿宋_GB2312" w:hAnsi="仿宋_GB2312" w:eastAsia="仿宋_GB2312" w:cs="仿宋_GB2312"/>
          <w:sz w:val="32"/>
          <w:szCs w:val="32"/>
          <w:lang w:val="en-US" w:eastAsia="zh-CN"/>
        </w:rPr>
        <w:t>行政</w:t>
      </w:r>
      <w:r>
        <w:rPr>
          <w:rFonts w:hint="eastAsia" w:ascii="仿宋_GB2312" w:hAnsi="仿宋_GB2312" w:eastAsia="仿宋_GB2312" w:cs="仿宋_GB2312"/>
          <w:sz w:val="32"/>
          <w:szCs w:val="32"/>
        </w:rPr>
        <w:t>执法人员，开展安全生产领域行政检查、行政处罚、行政强制、案件移送、信用监管等行政执法活动，适用本细则。</w:t>
      </w:r>
    </w:p>
    <w:p w14:paraId="26F321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本细则为本县安全生产领域行政执法工作指导性、规范性文件，用于统一执法标准、规范执法流程、细化执法管理、约束执法行为，不直接作为行政处罚法定依据。</w:t>
      </w:r>
    </w:p>
    <w:p w14:paraId="4B85A7B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第三条　执法原则</w:t>
      </w:r>
      <w:r>
        <w:rPr>
          <w:rFonts w:hint="eastAsia" w:ascii="仿宋_GB2312" w:hAnsi="仿宋_GB2312" w:eastAsia="仿宋_GB2312" w:cs="仿宋_GB2312"/>
          <w:sz w:val="32"/>
          <w:szCs w:val="32"/>
        </w:rPr>
        <w:t xml:space="preserve">  安全生产行政执法工作坚持合法公正、程序正当、过罚相当、权责统一、教育与处罚相结合、包容审慎监管原则；严格落实依法履职、规范执法、文明执法、廉洁执法要求，全面推行柔性执法、精准执法、智慧执法，杜绝随意执法、选择性执法、粗放执法。</w:t>
      </w:r>
    </w:p>
    <w:p w14:paraId="4D38024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第四条　执法主体与职责划分</w:t>
      </w:r>
      <w:r>
        <w:rPr>
          <w:rFonts w:hint="eastAsia" w:ascii="仿宋_GB2312" w:hAnsi="仿宋_GB2312" w:eastAsia="仿宋_GB2312" w:cs="仿宋_GB2312"/>
          <w:sz w:val="32"/>
          <w:szCs w:val="32"/>
        </w:rPr>
        <w:t xml:space="preserve">  应急管理</w:t>
      </w:r>
      <w:r>
        <w:rPr>
          <w:rFonts w:hint="eastAsia" w:ascii="仿宋_GB2312" w:hAnsi="仿宋_GB2312" w:eastAsia="仿宋_GB2312" w:cs="仿宋_GB2312"/>
          <w:sz w:val="32"/>
          <w:szCs w:val="32"/>
          <w:lang w:val="en-US" w:eastAsia="zh-CN"/>
        </w:rPr>
        <w:t>综合执法大队</w:t>
      </w:r>
      <w:r>
        <w:rPr>
          <w:rFonts w:hint="eastAsia" w:ascii="仿宋_GB2312" w:hAnsi="仿宋_GB2312" w:eastAsia="仿宋_GB2312" w:cs="仿宋_GB2312"/>
          <w:sz w:val="32"/>
          <w:szCs w:val="32"/>
        </w:rPr>
        <w:t>负责统筹本辖区安全生产行政执法工作，履行执法监督、制度建设、统筹协调职责。应急管理综合行政执法机构依法集中行使安全生产领域行政处罚权及与之相关的行政检查、行政强制权，统一开展一线执法办案工作。</w:t>
      </w:r>
    </w:p>
    <w:p w14:paraId="7CB7D4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行业监管股室负责日常行业监管、风险排查、隐患整改、线索移交、技术支撑，与执法机构建立监管执法联动机制，实现监管与执法无缝衔接。</w:t>
      </w:r>
    </w:p>
    <w:p w14:paraId="568C09D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第二章　执法人员与执法行为规范</w:t>
      </w:r>
    </w:p>
    <w:p w14:paraId="031B830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第五条　执法人员管理</w:t>
      </w:r>
      <w:r>
        <w:rPr>
          <w:rFonts w:hint="eastAsia" w:ascii="仿宋_GB2312" w:hAnsi="仿宋_GB2312" w:eastAsia="仿宋_GB2312" w:cs="仿宋_GB2312"/>
          <w:sz w:val="32"/>
          <w:szCs w:val="32"/>
        </w:rPr>
        <w:t xml:space="preserve">  安全生产领域行政执法人员必须取得合法有效的行政执法证件，持证上岗、亮证执法，无证人员不得独立开展执法检查、调查取证、作出执法决定。严格执行执法证件管理制度，规范证件申领、使用、注销流程，严禁转借、冒用、伪造执法证件。</w:t>
      </w:r>
    </w:p>
    <w:p w14:paraId="76110E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执法人员应当常态化开展法律法规、业务技能、文书制作、廉政纪律培训，熟练掌握执法事项清单、裁量基准、办案流程、证据规则，持续提升执法专业化能力。</w:t>
      </w:r>
    </w:p>
    <w:p w14:paraId="691A26C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第六条　执法行为准则</w:t>
      </w:r>
      <w:r>
        <w:rPr>
          <w:rFonts w:hint="eastAsia" w:ascii="仿宋_GB2312" w:hAnsi="仿宋_GB2312" w:eastAsia="仿宋_GB2312" w:cs="仿宋_GB2312"/>
          <w:sz w:val="32"/>
          <w:szCs w:val="32"/>
        </w:rPr>
        <w:t xml:space="preserve">  执法人员开展执法活动应当着装规范、举止文明、用语规范、程序严谨，严格落实文明执法规范。严禁吃拿卡要、徇私枉法、滥用职权、超权限执法、超范围处罚；严禁粗暴执法、推诿扯皮、拖延办案。</w:t>
      </w:r>
    </w:p>
    <w:p w14:paraId="05E736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执法过程中坚持普法释法，推行执法与普法融合，对当事人开展案情释法、法规宣讲、合规指引，引导安全生产经营主体守法经营。</w:t>
      </w:r>
    </w:p>
    <w:p w14:paraId="6B0E4B7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第三章　行政执法程序规范</w:t>
      </w:r>
    </w:p>
    <w:p w14:paraId="47D8990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第七条　日常行政检查规范</w:t>
      </w:r>
      <w:r>
        <w:rPr>
          <w:rFonts w:hint="eastAsia" w:ascii="仿宋_GB2312" w:hAnsi="仿宋_GB2312" w:eastAsia="仿宋_GB2312" w:cs="仿宋_GB2312"/>
          <w:sz w:val="32"/>
          <w:szCs w:val="32"/>
        </w:rPr>
        <w:t xml:space="preserve">  严格落实“双随机、一公开”监管制度，科学制定安全生产年度抽查检查计划，规范检查对象、检查内容、检查频次、检查流程。开展现场检查必须两名及以上执法人员参与，主动出示执法证件，告知检查事由、依据、当事人权利义务。</w:t>
      </w:r>
    </w:p>
    <w:p w14:paraId="3ECC2F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现场检查应当全面、客观、如实记录，完整制作现场检查笔录、拍摄影像资料，对发现的轻微问题当场指导整改，对涉嫌违法线索及时固定证据、登记移送、立案核查，杜绝有案不查、线索流失。</w:t>
      </w:r>
    </w:p>
    <w:p w14:paraId="42526DA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第八条　立案与管辖规范</w:t>
      </w:r>
      <w:r>
        <w:rPr>
          <w:rFonts w:hint="eastAsia" w:ascii="仿宋_GB2312" w:hAnsi="仿宋_GB2312" w:eastAsia="仿宋_GB2312" w:cs="仿宋_GB2312"/>
          <w:sz w:val="32"/>
          <w:szCs w:val="32"/>
        </w:rPr>
        <w:t xml:space="preserve">  对日常检查、投诉举报、上级交办、部门移送、舆情线索等发现的涉嫌违法行为，符合立案条件的，应当在法定期限内予以立案；不符合立案条件的，依法作出不予立案决定并说明理由。</w:t>
      </w:r>
    </w:p>
    <w:p w14:paraId="287C66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严格按照属地管辖、职能管辖、级别管辖规定办理案件，不得越权管辖、推诿管辖、重复管辖。对不属于本单位管辖的案件，应当及时移送有管辖权的单位，并做好移送记录</w:t>
      </w:r>
    </w:p>
    <w:p w14:paraId="2043E78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第九条  调查取证规范</w:t>
      </w:r>
      <w:r>
        <w:rPr>
          <w:rFonts w:hint="eastAsia" w:ascii="仿宋_GB2312" w:hAnsi="仿宋_GB2312" w:eastAsia="仿宋_GB2312" w:cs="仿宋_GB2312"/>
          <w:sz w:val="32"/>
          <w:szCs w:val="32"/>
        </w:rPr>
        <w:t xml:space="preserve">  案件调查必须坚持事实清楚、证据确凿、程序合法原则，严格按照安全生产行政执法证据规则收集、固定、审查证据。重点规范书证、物证、询问笔录、现场笔录、视听资料、检测检验报告、鉴定意见、电子数据等各类证据的提取与留存标准，确保证据真实、合法、关联、完整，形成完整证据链条。</w:t>
      </w:r>
    </w:p>
    <w:p w14:paraId="318FA9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严禁诱导取证、非法取证、隐匿证据、篡改证据，取证全过程同步记录，保障取证程序合法有效。</w:t>
      </w:r>
    </w:p>
    <w:p w14:paraId="0C62E7A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第十条　告知、听证与陈述申辩规范</w:t>
      </w:r>
      <w:r>
        <w:rPr>
          <w:rFonts w:hint="eastAsia" w:ascii="仿宋_GB2312" w:hAnsi="仿宋_GB2312" w:eastAsia="仿宋_GB2312" w:cs="仿宋_GB2312"/>
          <w:sz w:val="32"/>
          <w:szCs w:val="32"/>
        </w:rPr>
        <w:t xml:space="preserve">  作出行政处罚决定前，必须依法履行事先告知义务，明确告知当事人违法事实、处罚依据、拟处罚内容及依法享有的陈述、申辩、听证权利。</w:t>
      </w:r>
    </w:p>
    <w:p w14:paraId="352CEB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符合听证条件的案件，当事人提出听证申请的，应当依法组织听证，严格按照听证程序规范开展听证工作，完整留存听证笔录，充分保障当事人合法权益。对当事人提出的陈述申辩意见，应当认真复核、如实记录、依法采纳，不得因当事人申辩加重处罚。</w:t>
      </w:r>
    </w:p>
    <w:p w14:paraId="4BE31EF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第十一条　案件审理与审批规范</w:t>
      </w:r>
      <w:r>
        <w:rPr>
          <w:rFonts w:hint="eastAsia" w:ascii="仿宋_GB2312" w:hAnsi="仿宋_GB2312" w:eastAsia="仿宋_GB2312" w:cs="仿宋_GB2312"/>
          <w:sz w:val="32"/>
          <w:szCs w:val="32"/>
        </w:rPr>
        <w:t xml:space="preserve">  案件调查终结后，办案人员应当撰写案件调查终结报告，明确案件事实、证据情况、定性意见、处理建议，严格履行内部审核、机构复核、机关审批流程。严格落实重大案件集体讨论制度，对案情复杂、涉案金额较大、社会影响较广、争议较大的案件，必须经集体讨论研究后作出处理决定。</w:t>
      </w:r>
    </w:p>
    <w:p w14:paraId="36C62D0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第十二条　处罚决定与文书送达规范</w:t>
      </w:r>
      <w:r>
        <w:rPr>
          <w:rFonts w:hint="eastAsia" w:ascii="仿宋_GB2312" w:hAnsi="仿宋_GB2312" w:eastAsia="仿宋_GB2312" w:cs="仿宋_GB2312"/>
          <w:sz w:val="32"/>
          <w:szCs w:val="32"/>
        </w:rPr>
        <w:t xml:space="preserve">  行政处罚决定书应当内容完整、事实清晰、定性准确、适用法律正确、裁量适当、逻辑严谨，严格按照统一文书格式制作，杜绝文书错漏、依据引用错误、裁量失当等问题。</w:t>
      </w:r>
    </w:p>
    <w:p w14:paraId="48ABC0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严格按照法定方式、法定期限送达执法文书，规范直接送达、留置送达、邮寄送达、公告送达流程，留存完整送达凭证，确保文书送达合法有效。</w:t>
      </w:r>
    </w:p>
    <w:p w14:paraId="5AF8864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第十三条　执行与结案规范</w:t>
      </w:r>
      <w:r>
        <w:rPr>
          <w:rFonts w:hint="eastAsia" w:ascii="仿宋_GB2312" w:hAnsi="仿宋_GB2312" w:eastAsia="仿宋_GB2312" w:cs="仿宋_GB2312"/>
          <w:sz w:val="32"/>
          <w:szCs w:val="32"/>
        </w:rPr>
        <w:t xml:space="preserve">  依法督促当事人履行行政处罚决定，对逾期不履行的，依法履行催告程序，依规申请人民法院强制执行。案件履行完毕、不予处罚、依法撤销、执行终结等符合结案条件的，及时办理结案手续，撰写结案报告，规范完成案件闭环管理。</w:t>
      </w:r>
    </w:p>
    <w:p w14:paraId="6DC6774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第四章　行政执法三项制度落实</w:t>
      </w:r>
    </w:p>
    <w:p w14:paraId="28941CB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第十四条　行政执法公示制度</w:t>
      </w:r>
      <w:r>
        <w:rPr>
          <w:rFonts w:hint="eastAsia" w:ascii="仿宋_GB2312" w:hAnsi="仿宋_GB2312" w:eastAsia="仿宋_GB2312" w:cs="仿宋_GB2312"/>
          <w:sz w:val="32"/>
          <w:szCs w:val="32"/>
        </w:rPr>
        <w:t xml:space="preserve">  坚持“公开为常态、不公开为例外”，全面公示执法主体、执法人员、执法权限、执法依据、执法程序、裁量基准、执法结果、监督方式等信息。严格落实事前公开、事中公示、事后公开要求，规范公示内容、公示时限、公示渠道，及时更正错误公示信息，保障社会公众知情权、监督权。涉及国家秘密、商业秘密、个人隐私的信息依法不予公开。</w:t>
      </w:r>
    </w:p>
    <w:p w14:paraId="023571D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第十五条　执法全过程记录制度</w:t>
      </w:r>
      <w:r>
        <w:rPr>
          <w:rFonts w:hint="eastAsia" w:ascii="仿宋_GB2312" w:hAnsi="仿宋_GB2312" w:eastAsia="仿宋_GB2312" w:cs="仿宋_GB2312"/>
          <w:sz w:val="32"/>
          <w:szCs w:val="32"/>
        </w:rPr>
        <w:t xml:space="preserve">  对行政检查、调查取证、告知听证、案件审理、文书送达、处罚执行等全部执法环节，通过文字记录、音像记录相结合的方式实现全过程留痕、可回溯管理。文字记录规范完整、要素齐全，音像记录重点覆盖现场检查、调查询问、证据固定、强制执法、文书送达等关键环节。严格落实执法音视频资料存储、调取、归档、保密管理制度。</w:t>
      </w:r>
    </w:p>
    <w:p w14:paraId="3B1037A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第十六条　重大执法决定法制审核制度</w:t>
      </w:r>
      <w:r>
        <w:rPr>
          <w:rFonts w:hint="eastAsia" w:ascii="仿宋_GB2312" w:hAnsi="仿宋_GB2312" w:eastAsia="仿宋_GB2312" w:cs="仿宋_GB2312"/>
          <w:sz w:val="32"/>
          <w:szCs w:val="32"/>
        </w:rPr>
        <w:t xml:space="preserve">  所有重大行政处罚、重大行政强制等执法决定必须经过法制审核，未经法制审核或者审核不通过的，不得作出执法决定。法制审核重点审核执法主体权限、案件事实、证据效力、法律适用、程序合规、裁量幅度、文书规范等内容，出具明确审核意见，对存在问题的案件退回补正、整改或不予通过。配齐配强法制审核人员，严格落实专人审核、分级负责制度。</w:t>
      </w:r>
    </w:p>
    <w:p w14:paraId="10EFE09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第五章　自由裁量与柔性执法规范</w:t>
      </w:r>
    </w:p>
    <w:p w14:paraId="19A7F15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第十七条　裁量基准适用规则</w:t>
      </w:r>
      <w:r>
        <w:rPr>
          <w:rFonts w:hint="eastAsia" w:ascii="仿宋_GB2312" w:hAnsi="仿宋_GB2312" w:eastAsia="仿宋_GB2312" w:cs="仿宋_GB2312"/>
          <w:sz w:val="32"/>
          <w:szCs w:val="32"/>
        </w:rPr>
        <w:t xml:space="preserve">  严格落实行政处罚自由裁量基准制度，坚持过罚相当、宽严相济，区分轻微、一般、较重、严重违法档次，精准适用不予处罚、从轻处罚、减轻处罚、从重处罚情形。同一区域、同一性质、同一情节的违法行为，适用统一裁量标准，杜绝畸轻畸重、类案不同罚。</w:t>
      </w:r>
    </w:p>
    <w:p w14:paraId="3B2674A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第十八条　包容审慎监管与柔性执法</w:t>
      </w:r>
      <w:r>
        <w:rPr>
          <w:rFonts w:hint="eastAsia" w:ascii="仿宋_GB2312" w:hAnsi="仿宋_GB2312" w:eastAsia="仿宋_GB2312" w:cs="仿宋_GB2312"/>
          <w:sz w:val="32"/>
          <w:szCs w:val="32"/>
        </w:rPr>
        <w:t xml:space="preserve">  坚持教育引导和惩戒相结合原则，在坚决守牢安全底线的基础上，落实首违不罚、从轻或减轻行政处罚制度，对主动报告、妥善处置、未造成后果的，依法从轻、减轻或免予处罚。属于适用包容审慎监管措施的，执法人员应向当事人指出违法行为，宣传相关法律法规规定，提出整改要求，并由企业负责人签署整改意见书，企业不落实整改要求的，应当对其违法行为依法依规处罚。</w:t>
      </w:r>
    </w:p>
    <w:p w14:paraId="5D74EE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第六章　行刑衔接与联动执法</w:t>
      </w:r>
    </w:p>
    <w:p w14:paraId="5B7356B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第十九条　行刑衔接机制</w:t>
      </w:r>
      <w:r>
        <w:rPr>
          <w:rFonts w:hint="eastAsia" w:ascii="仿宋_GB2312" w:hAnsi="仿宋_GB2312" w:eastAsia="仿宋_GB2312" w:cs="仿宋_GB2312"/>
          <w:sz w:val="32"/>
          <w:szCs w:val="32"/>
        </w:rPr>
        <w:t xml:space="preserve">  严格落实安全生产领域行政执法与刑事司法衔接工作机制，对涉嫌刑事犯罪的案件，必须依法及时移送公安、司法机关，杜绝以罚代刑、降格处理、有案不移。建立案件移送台账、线索会商、联合办案、信息共享机制，规范证据移送、案件交接、结果反馈流程。</w:t>
      </w:r>
    </w:p>
    <w:p w14:paraId="0E699C0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第二十条　部门联动与层级联动</w:t>
      </w:r>
      <w:r>
        <w:rPr>
          <w:rFonts w:hint="eastAsia" w:ascii="仿宋_GB2312" w:hAnsi="仿宋_GB2312" w:eastAsia="仿宋_GB2312" w:cs="仿宋_GB2312"/>
          <w:sz w:val="32"/>
          <w:szCs w:val="32"/>
        </w:rPr>
        <w:t xml:space="preserve">  健全与公安、市场监管、生态环境等部门联合执法机制，针对危险化学品、工贸、非煤矿山等重点领域，开展联合排查、联合整治、联合惩戒。完善多层级协调联动执法检查机制，避免对同一企业的同一执法事项进行重复检查、多头检查，杜绝各类无实际内容的入企检查。</w:t>
      </w:r>
    </w:p>
    <w:p w14:paraId="350F1F7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第七章　执法文书与案卷管理</w:t>
      </w:r>
    </w:p>
    <w:p w14:paraId="71B4C58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第二十一条　执法文书规范</w:t>
      </w:r>
      <w:r>
        <w:rPr>
          <w:rFonts w:hint="eastAsia" w:ascii="仿宋_GB2312" w:hAnsi="仿宋_GB2312" w:eastAsia="仿宋_GB2312" w:cs="仿宋_GB2312"/>
          <w:sz w:val="32"/>
          <w:szCs w:val="32"/>
        </w:rPr>
        <w:t xml:space="preserve">  严格执行国家及本省安全生产行政执法文书制作规范，统一文书格式、填写标准、使用流程，做到文书要素齐全、表述准确、逻辑严密、签章规范、日期完整。杜绝空白文书、错填漏填、随意涂改、格式混乱等问题。</w:t>
      </w:r>
    </w:p>
    <w:p w14:paraId="2FEEDFB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第二十二条　案卷归档管理</w:t>
      </w:r>
      <w:r>
        <w:rPr>
          <w:rFonts w:hint="eastAsia" w:ascii="仿宋_GB2312" w:hAnsi="仿宋_GB2312" w:eastAsia="仿宋_GB2312" w:cs="仿宋_GB2312"/>
          <w:sz w:val="32"/>
          <w:szCs w:val="32"/>
        </w:rPr>
        <w:t xml:space="preserve">  实行“一案一卷、即时归档、规范保管”制度，案件办结后严格按照案卷整理顺序，完整归集立案材料、调查材料、证据材料、审核审批材料、文书送达材料、执行材料、结案材料等全部资料，规范装订、编号、存档。建立案卷台账，落实档案保管、查阅、借阅、保密、销毁制度，常态化开展案卷评查工作。</w:t>
      </w:r>
    </w:p>
    <w:p w14:paraId="324A709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第八章　执法监督与责任追究</w:t>
      </w:r>
    </w:p>
    <w:p w14:paraId="1470A9E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第二十三条　内部监督管理</w:t>
      </w:r>
      <w:r>
        <w:rPr>
          <w:rFonts w:hint="eastAsia" w:ascii="仿宋_GB2312" w:hAnsi="仿宋_GB2312" w:eastAsia="仿宋_GB2312" w:cs="仿宋_GB2312"/>
          <w:sz w:val="32"/>
          <w:szCs w:val="32"/>
        </w:rPr>
        <w:t xml:space="preserve">  应急管理</w:t>
      </w:r>
      <w:r>
        <w:rPr>
          <w:rFonts w:hint="eastAsia" w:ascii="仿宋_GB2312" w:hAnsi="仿宋_GB2312" w:eastAsia="仿宋_GB2312" w:cs="仿宋_GB2312"/>
          <w:sz w:val="32"/>
          <w:szCs w:val="32"/>
          <w:lang w:val="en-US" w:eastAsia="zh-CN"/>
        </w:rPr>
        <w:t>综合执法大队</w:t>
      </w:r>
      <w:r>
        <w:rPr>
          <w:rFonts w:hint="eastAsia" w:ascii="仿宋_GB2312" w:hAnsi="仿宋_GB2312" w:eastAsia="仿宋_GB2312" w:cs="仿宋_GB2312"/>
          <w:sz w:val="32"/>
          <w:szCs w:val="32"/>
        </w:rPr>
        <w:t>定期开展执法监督检查、案卷评查、执法质量考评、执法作风督查，聚焦乱检查、乱执法、乱处罚等问题，重点核查执法程序、事实认定、法律适用、裁量标准、文书质量、案卷归档、制度落实等情况，建立问题台账，限期整改、闭环销号。</w:t>
      </w:r>
    </w:p>
    <w:p w14:paraId="7A37698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第二十四条　外部监督机制</w:t>
      </w:r>
      <w:r>
        <w:rPr>
          <w:rFonts w:hint="eastAsia" w:ascii="仿宋_GB2312" w:hAnsi="仿宋_GB2312" w:eastAsia="仿宋_GB2312" w:cs="仿宋_GB2312"/>
          <w:sz w:val="32"/>
          <w:szCs w:val="32"/>
        </w:rPr>
        <w:t xml:space="preserve">  主动接受人大监督、司法监督、社会监督、舆论监督，畅通投诉举报渠道，及时回应群众诉求，依法妥善处理执法争议、复议诉讼案件，主动纠正违法、不当执法行为。</w:t>
      </w:r>
    </w:p>
    <w:p w14:paraId="7D98B35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第二十五条　执法责任追究</w:t>
      </w:r>
      <w:r>
        <w:rPr>
          <w:rFonts w:hint="eastAsia" w:ascii="仿宋_GB2312" w:hAnsi="仿宋_GB2312" w:eastAsia="仿宋_GB2312" w:cs="仿宋_GB2312"/>
          <w:sz w:val="32"/>
          <w:szCs w:val="32"/>
        </w:rPr>
        <w:t xml:space="preserve">  执法机构及执法人员存在超越职权、滥用职权、程序违法、事实不清、证据不足、适用法律错误、徇私舞弊、有案不立、压案不查、以罚代管、以罚代刑等执法过错的，依规依纪追究相关人员责任；涉嫌违法犯罪的，依法移交司法机关处理。</w:t>
      </w:r>
    </w:p>
    <w:p w14:paraId="3A37752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第九章　附则</w:t>
      </w:r>
    </w:p>
    <w:p w14:paraId="47B5AF5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第二十六条　适用衔接</w:t>
      </w:r>
      <w:r>
        <w:rPr>
          <w:rFonts w:hint="eastAsia" w:ascii="仿宋_GB2312" w:hAnsi="仿宋_GB2312" w:eastAsia="仿宋_GB2312" w:cs="仿宋_GB2312"/>
          <w:sz w:val="32"/>
          <w:szCs w:val="32"/>
        </w:rPr>
        <w:t xml:space="preserve">  本细则未尽事宜，按照《中华人民共和国行政处罚法》《中华人民共和国安全生产法》《安全生产违法行为行政处罚办法》《应急管理部关于严格规范安全生产执法行为的通知》及国家、省、市相关法律法规、规章和规范性文件执行。本细则条款与上位规定不一致的，以上位规定为准。</w:t>
      </w:r>
    </w:p>
    <w:p w14:paraId="5CB2CFE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第二十七条　施行日期</w:t>
      </w:r>
      <w:r>
        <w:rPr>
          <w:rFonts w:hint="eastAsia" w:ascii="仿宋_GB2312" w:hAnsi="仿宋_GB2312" w:eastAsia="仿宋_GB2312" w:cs="仿宋_GB2312"/>
          <w:sz w:val="32"/>
          <w:szCs w:val="32"/>
        </w:rPr>
        <w:t xml:space="preserve">  本细则自印发之日起施行，由将乐县应急管理局负责解释。原有相关安全生产执法规范性文件与本细则不一致的，以本细则为准。</w:t>
      </w:r>
    </w:p>
    <w:p w14:paraId="0C871B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7B0A57"/>
    <w:rsid w:val="0EB9159E"/>
    <w:rsid w:val="17BA2A25"/>
    <w:rsid w:val="2B2318AC"/>
    <w:rsid w:val="2FDE0A0C"/>
    <w:rsid w:val="3E7B0A57"/>
    <w:rsid w:val="521265C8"/>
    <w:rsid w:val="578810DA"/>
    <w:rsid w:val="5812180A"/>
    <w:rsid w:val="60602BF4"/>
    <w:rsid w:val="68FC26A4"/>
    <w:rsid w:val="7BD61B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4115</Words>
  <Characters>4115</Characters>
  <Lines>0</Lines>
  <Paragraphs>0</Paragraphs>
  <TotalTime>0</TotalTime>
  <ScaleCrop>false</ScaleCrop>
  <LinksUpToDate>false</LinksUpToDate>
  <CharactersWithSpaces>4206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2026-09-11T09:34:00Z</dcterms:created>
  <dc:creator>Vicomte</dc:creator>
  <cp:lastModifiedBy>Vicomte</cp:lastModifiedBy>
  <dcterms:modified xsi:type="dcterms:W3CDTF">2026-09-14T00:47:55Z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67D1BD65247C4AC09A9CA0C72CE7A7C6_11</vt:lpwstr>
  </property>
  <property fmtid="{D5CDD505-2E9C-101B-9397-08002B2CF9AE}" pid="4" name="KSOTemplateDocerSaveRecord">
    <vt:lpwstr>eyJoZGlkIjoiODBlNjdiNGVmZjBiYzFlODVkNzkxZmY1MzI0ZGUwMmYiLCJ1c2VySWQiOiIyODQwMzM3MTMifQ==</vt:lpwstr>
  </property>
</Properties>
</file>